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Descriptives vs Birch &amp; Van Ham Appendix Table 1.1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11"/>
        <w:gridCol w:w="1144"/>
        <w:gridCol w:w="1536"/>
        <w:gridCol w:w="1340"/>
        <w:gridCol w:w="1401"/>
        <w:gridCol w:w="1157"/>
        <w:gridCol w:w="1548"/>
        <w:gridCol w:w="1352"/>
        <w:gridCol w:w="1413"/>
        <w:gridCol w:w="1022"/>
        <w:gridCol w:w="1413"/>
        <w:gridCol w:w="1218"/>
        <w:gridCol w:w="1279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BVH_N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BVH_Mean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BVH_Min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BVH_Max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Your_N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Your_Mean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Your_Min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Your_Max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Diff_Max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Election integrity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jure EMB independence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facto EMB independence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judiciary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Civil society freedom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capacity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 observers present?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Domestic observers present?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annual growth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-12.88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GDP per capita log (current USD)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Legislative electoral system majoritarian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of 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2026-04-10T07:58:08Z</dcterms:modified>
  <cp:category/>
</cp:coreProperties>
</file>