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1, Model 2. Birch &amp; Van Ham (2017) vs. Replication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2049"/>
        <w:gridCol w:w="1976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Replication FE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facto EMB independence (0–4)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0.319*** (0.025)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0.187*** (0.021)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judiciary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0.041*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0.067* (0.027)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media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0.074** (0.024)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 society freedom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0.077** (0.024)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capacity (0–4)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0.132***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0.072* (0.033)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 election observers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 (0.032)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Domestic election observers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0.084+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0.167** (0.053)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annual growth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 (0.002)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GDP per capita log (current USD)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 (0.022)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Executive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(0.028)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 (0.036)</w:t>
            </w:r>
          </w:p>
        </w:tc>
      </w:tr>
      <w:tr>
        <w:trPr>
          <w:trHeight w:val="61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(elections)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(countries)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2026-04-07T15:09:52Z</dcterms:modified>
  <cp:category/>
</cp:coreProperties>
</file>