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1, Model 2. Birch &amp; Van Ham (2017) vs. Replication (standardised)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68"/>
        <w:gridCol w:w="2049"/>
        <w:gridCol w:w="3309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B&amp;VH 2017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Replication FE (standardised)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 facto EMB independence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0.319*** (0.025)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0.281*** (0.032)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Independence of judiciary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0.041* (0.020)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0.054* (0.022)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Independence of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0.066***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0.053** (0.017)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Civil society freedom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0.037*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0.060** (0.018)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 capacity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0.132*** (0.035)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0.087* (0.040)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International election observers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 (0.023)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 (0.016)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Domestic election observers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0.084+ (0.043)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0.054** (0.017)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 per capita annual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-0.006*** (0.001)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 (0.013)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Real GDP per capita log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 (0.019)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-0.025 (0.036)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Executive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-0.022 (0.022)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 (0.012)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Concurrent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 (0.026)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 (0.016)</w:t>
            </w:r>
          </w:p>
        </w:tc>
      </w:tr>
      <w:tr>
        <w:trPr>
          <w:trHeight w:val="61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R-squared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0.223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(elections)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(countries)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2026-04-10T07:58:13Z</dcterms:modified>
  <cp:category/>
</cp:coreProperties>
</file>