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Birch &amp; Van Ham (2017) vs. Replication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4"/>
        <w:gridCol w:w="2465"/>
        <w:gridCol w:w="2465"/>
        <w:gridCol w:w="2465"/>
        <w:gridCol w:w="2746"/>
        <w:gridCol w:w="2746"/>
        <w:gridCol w:w="2746"/>
      </w:tblGrid>
      <w:tr>
        <w:trPr>
          <w:trHeight w:val="61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3: 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1: Replication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2: Replication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3: Replication FE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facto EMB independence (0–4)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0.370*** (0.028)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0.362*** (0.028)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0.387*** (0.031)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0.221*** (0.024)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0.194*** (0.025)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0.208*** (0.027)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judiciary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0.183***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0.034+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0.042*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0.171***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0.066*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0.067* (0.027)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media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0.193*** 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0.071** 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0.096* 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0.074** (0.024)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society freedom (0–2)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0.159*** 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0.074**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0.077** 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0.119** (0.040)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judiciary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-0.064***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-0.047**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-0.053***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independence * civil society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-0.058*** 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 (0.016)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capacity (0–4)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0.130***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0.134*** 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0.123***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0.070*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0.072*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0.069* (0.033)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observers present?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 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 (0.032)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Domestic observers present?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0.093*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0.149** 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0.166** 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0.160** (0.054)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growth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 (0.002)</w:t>
            </w:r>
          </w:p>
        </w:tc>
      </w:tr>
      <w:tr>
        <w:trPr>
          <w:trHeight w:val="62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GDP per capita log (current US$)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 (0.022)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Executive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(0.028)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 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 (0.036)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(elections)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(countries)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2026-04-07T15:09:53Z</dcterms:modified>
  <cp:category/>
</cp:coreProperties>
</file>