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4: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Madelyn</w:t>
      </w:r>
      <w:r>
        <w:t xml:space="preserve"> </w:t>
      </w:r>
      <w:r>
        <w:t xml:space="preserve">Thompson</w:t>
      </w:r>
    </w:p>
    <w:p>
      <w:pPr>
        <w:pStyle w:val="Date"/>
      </w:pPr>
      <w:r>
        <w:t xml:space="preserve">2025-02-27</w:t>
      </w:r>
    </w:p>
    <w:bookmarkStart w:id="20" w:name="question-1"/>
    <w:p>
      <w:pPr>
        <w:pStyle w:val="Heading3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A YAML header is the section of the top of .rmd code that sets the title, output options, and other global settings. You can set the output as a html, word, pdf, or github flavored markdown document. You can also set a table of contents in the YAML header.</w:t>
      </w:r>
    </w:p>
    <w:p>
      <w:pPr>
        <w:numPr>
          <w:ilvl w:val="0"/>
          <w:numId w:val="1001"/>
        </w:numPr>
        <w:pStyle w:val="Compact"/>
      </w:pPr>
      <w:r>
        <w:t xml:space="preserve">Literate programming is writing code in a way that is human-readable and easy to understand. It is a key part of a reproducible workflow.</w:t>
      </w:r>
    </w:p>
    <w:bookmarkEnd w:id="20"/>
    <w:bookmarkStart w:id="25" w:name="question-2"/>
    <w:p>
      <w:pPr>
        <w:pStyle w:val="Heading3"/>
      </w:pPr>
      <w:r>
        <w:t xml:space="preserve">Question 2</w:t>
      </w:r>
    </w:p>
    <w:p>
      <w:pPr>
        <w:pStyle w:val="FirstParagraph"/>
      </w:pPr>
      <w:r>
        <w:t xml:space="preserve">Data are published here:</w:t>
      </w:r>
    </w:p>
    <w:p>
      <w:pPr>
        <w:pStyle w:val="BodyText"/>
      </w:pPr>
      <w:hyperlink r:id="rId21">
        <w:r>
          <w:rPr>
            <w:rStyle w:val="Hyperlink"/>
          </w:rPr>
          <w:t xml:space="preserve">Noel, Z.A., Roze, L.V., Breunig, M., Trail, F. 2022. Endophytic fungi aspromising biocontrol agent to protect wheat from Fusarium graminearum head blight. Plant Disease.</w:t>
        </w:r>
      </w:hyperlink>
    </w:p>
    <w:p>
      <w:pPr>
        <w:pStyle w:val="BodyText"/>
      </w:pPr>
      <w:r>
        <w:t xml:space="preserve">Load in the MycotinData.csv dataframe.</w:t>
      </w:r>
    </w:p>
    <w:p>
      <w:pPr>
        <w:pStyle w:val="SourceCode"/>
      </w:pPr>
      <w:r>
        <w:rPr>
          <w:rStyle w:val="CommentTok"/>
        </w:rPr>
        <w:t xml:space="preserve"># load in data, assigning na with &lt;NA&gt;</w:t>
      </w:r>
      <w:r>
        <w:br/>
      </w:r>
      <w:r>
        <w:rPr>
          <w:rStyle w:val="NormalTok"/>
        </w:rPr>
        <w:t xml:space="preserve">mycotoxindf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(mycotoxindf) </w:t>
      </w:r>
      <w:r>
        <w:rPr>
          <w:rStyle w:val="CommentTok"/>
        </w:rPr>
        <w:t xml:space="preserve">#check that it's right 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FirstParagraph"/>
      </w:pPr>
      <w:r>
        <w:t xml:space="preserve">Load in packages and colorblind palette.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CommentTok"/>
        </w:rPr>
        <w:t xml:space="preserve">#color blind palette vector 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DON~Treatment boxplot.</w:t>
      </w:r>
    </w:p>
    <w:p>
      <w:pPr>
        <w:pStyle w:val="SourceCode"/>
      </w:pPr>
      <w:r>
        <w:rPr>
          <w:rStyle w:val="CommentTok"/>
        </w:rPr>
        <w:t xml:space="preserve"># relevel the df so that NTC is the first group in the plot </w:t>
      </w:r>
      <w:r>
        <w:br/>
      </w:r>
      <w:r>
        <w:rPr>
          <w:rStyle w:val="NormalTok"/>
        </w:rPr>
        <w:t xml:space="preserve">mycotoxindf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#create a boxplot of DON~Treatment </w:t>
      </w:r>
      <w:r>
        <w:br/>
      </w:r>
      <w:r>
        <w:rPr>
          <w:rStyle w:val="NormalTok"/>
        </w:rPr>
        <w:t xml:space="preserve">DON.bp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</w:p>
    <w:p>
      <w:pPr>
        <w:pStyle w:val="FirstParagraph"/>
      </w:pPr>
      <w:r>
        <w:t xml:space="preserve">Create Mass~Treatment boxplot.</w:t>
      </w:r>
    </w:p>
    <w:p>
      <w:pPr>
        <w:pStyle w:val="SourceCode"/>
      </w:pPr>
      <w:r>
        <w:rPr>
          <w:rStyle w:val="NormalTok"/>
        </w:rPr>
        <w:t xml:space="preserve">mass.bp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 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</w:p>
    <w:p>
      <w:pPr>
        <w:pStyle w:val="FirstParagraph"/>
      </w:pPr>
      <w:r>
        <w:t xml:space="preserve">Create X15adon~Treatment boxplot.</w:t>
      </w:r>
    </w:p>
    <w:p>
      <w:pPr>
        <w:pStyle w:val="SourceCode"/>
      </w:pPr>
      <w:r>
        <w:rPr>
          <w:rStyle w:val="NormalTok"/>
        </w:rPr>
        <w:t xml:space="preserve">X15ADON.bp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 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</w:p>
    <w:p>
      <w:pPr>
        <w:pStyle w:val="FirstParagraph"/>
      </w:pPr>
      <w:r>
        <w:t xml:space="preserve">Use ggarange to combine all figures and add p-values to figures</w:t>
      </w:r>
    </w:p>
    <w:p>
      <w:pPr>
        <w:pStyle w:val="SourceCode"/>
      </w:pPr>
      <w:r>
        <w:rPr>
          <w:rStyle w:val="CommentTok"/>
        </w:rPr>
        <w:t xml:space="preserve"># adds t-test pairwise p-values to each of the figures</w:t>
      </w:r>
      <w:r>
        <w:br/>
      </w:r>
      <w:r>
        <w:rPr>
          <w:rStyle w:val="NormalTok"/>
        </w:rPr>
        <w:t xml:space="preserve">X15ADON.bp.ttest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X15ADON.bp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mass.bp.ttest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mass.bp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DON.bp.ttest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DON.bp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#combines those three plots with the ttest pvalues into a single plot with 3 panels</w:t>
      </w:r>
      <w:r>
        <w:br/>
      </w:r>
      <w:r>
        <w:rPr>
          <w:rStyle w:val="NormalTok"/>
        </w:rPr>
        <w:t xml:space="preserve">figure.ttest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DON.bp.ttest, </w:t>
      </w:r>
      <w:r>
        <w:br/>
      </w:r>
      <w:r>
        <w:rPr>
          <w:rStyle w:val="NormalTok"/>
        </w:rPr>
        <w:t xml:space="preserve">  mass.bp.ttest, </w:t>
      </w:r>
      <w:r>
        <w:br/>
      </w:r>
      <w:r>
        <w:rPr>
          <w:rStyle w:val="NormalTok"/>
        </w:rPr>
        <w:t xml:space="preserve">  X15ADON.bp.ttest,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figure.ttest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ingChallenge4Markdown_files/figure-docx/combined%20fig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apsjournals.apsnet.org/doi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sjournals.apsnet.org/doi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4: Markdown</dc:title>
  <dc:creator>Madelyn Thompson</dc:creator>
  <cp:keywords/>
  <dcterms:created xsi:type="dcterms:W3CDTF">2025-02-27T19:55:47Z</dcterms:created>
  <dcterms:modified xsi:type="dcterms:W3CDTF">2025-02-27T19:55:47Z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