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38984083efee9680b21f1536dd8294d72ad0f10"/>
    <w:p>
      <w:pPr>
        <w:pStyle w:val="Heading1"/>
      </w:pPr>
      <w:r>
        <w:t xml:space="preserve">Point-in-time options information for forecasting next-30-minute realised variance</w:t>
      </w:r>
    </w:p>
    <w:p>
      <w:pPr>
        <w:pStyle w:val="FirstParagraph"/>
      </w:pPr>
      <w:r>
        <w:rPr>
          <w:bCs/>
          <w:b/>
        </w:rPr>
        <w:t xml:space="preserve">Capstone report — evidence-cutoff version (2026-08-28)</w:t>
      </w:r>
    </w:p>
    <w:p>
      <w:pPr>
        <w:pStyle w:val="BlockText"/>
      </w:pPr>
      <w:r>
        <w:t xml:space="preserve">Status:</w:t>
      </w:r>
      <w:r>
        <w:t xml:space="preserve"> </w:t>
      </w:r>
      <w:r>
        <w:rPr>
          <w:rStyle w:val="VerbatimChar"/>
        </w:rPr>
        <w:t xml:space="preserve">EVIDENCE_CUTOFF_COMPLETE</w:t>
      </w:r>
      <w:r>
        <w:t xml:space="preserve">. Supersedes the v1 skeleton. Phase 8 and Phase 9 are</w:t>
      </w:r>
      <w:r>
        <w:t xml:space="preserve"> </w:t>
      </w:r>
      <w:r>
        <w:t xml:space="preserve">reported at their actual evidence-cutoff status rather than left as result placeholders.</w:t>
      </w:r>
      <w:r>
        <w:t xml:space="preserve"> </w:t>
      </w:r>
      <w:r>
        <w:t xml:space="preserve">All claims are bounded by decision 53;</w:t>
      </w:r>
      <w:r>
        <w:t xml:space="preserve"> </w:t>
      </w:r>
      <w:r>
        <w:t xml:space="preserve">exploratory findings carry their labels and the</w:t>
      </w:r>
      <w:r>
        <w:t xml:space="preserve"> </w:t>
      </w:r>
      <w:r>
        <w:rPr>
          <w:rStyle w:val="VerbatimChar"/>
        </w:rPr>
        <w:t xml:space="preserve">positive_findings_v1.md</w:t>
      </w:r>
      <w:r>
        <w:t xml:space="preserve"> </w:t>
      </w:r>
      <w:r>
        <w:t xml:space="preserve">citation</w:t>
      </w:r>
      <w:r>
        <w:t xml:space="preserve"> </w:t>
      </w:r>
      <w:r>
        <w:t xml:space="preserve">rule. Numbers are drawn only from the frozen artifacts cited in each section.</w:t>
      </w:r>
    </w:p>
    <w:p>
      <w:pPr>
        <w:pStyle w:val="BlockText"/>
      </w:pPr>
      <w:r>
        <w:rPr>
          <w:bCs/>
          <w:b/>
        </w:rPr>
        <w:t xml:space="preserve">Evidence status (2026-08-28).</w:t>
      </w:r>
      <w:r>
        <w:t xml:space="preserve"> </w:t>
      </w:r>
      <w:r>
        <w:t xml:space="preserve">The current reproducible bundle is</w:t>
      </w:r>
      <w:r>
        <w:t xml:space="preserve"> </w:t>
      </w:r>
      <w:r>
        <w:rPr>
          <w:rStyle w:val="VerbatimChar"/>
        </w:rPr>
        <w:t xml:space="preserve">rp2-v3-20260827-remediation3</w:t>
      </w:r>
      <w:r>
        <w:t xml:space="preserve"> </w:t>
      </w:r>
      <w:r>
        <w:t xml:space="preserve">(scientific hash</w:t>
      </w:r>
      <w:r>
        <w:t xml:space="preserve"> </w:t>
      </w:r>
      <w:r>
        <w:rPr>
          <w:rStyle w:val="VerbatimChar"/>
        </w:rPr>
        <w:t xml:space="preserve">386610a4908d601c...</w:t>
      </w:r>
      <w:r>
        <w:t xml:space="preserve">). It repairs the</w:t>
      </w:r>
      <w:r>
        <w:t xml:space="preserve"> </w:t>
      </w:r>
      <w:r>
        <w:t xml:space="preserve">Block 8/Block 10 LightGBM protocol divergence, but remains a historical D/V measurement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PIT_V22_RECONCILIATION_BLOCKED</w:t>
      </w:r>
      <w:r>
        <w:t xml:space="preserve"> </w:t>
      </w:r>
      <w:r>
        <w:t xml:space="preserve">is still active. No number in this report is an</w:t>
      </w:r>
      <w:r>
        <w:t xml:space="preserve"> </w:t>
      </w:r>
      <w:r>
        <w:t xml:space="preserve">eligible current headline;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docs/rp2_v3/VERDICT.md</w:t>
      </w:r>
      <w:r>
        <w:t xml:space="preserve"> </w:t>
      </w:r>
      <w:r>
        <w:t xml:space="preserve">govern if a dated</w:t>
      </w:r>
      <w:r>
        <w:t xml:space="preserve"> </w:t>
      </w:r>
      <w:r>
        <w:t xml:space="preserve">narrative disagrees.</w:t>
      </w:r>
    </w:p>
    <w:bookmarkStart w:id="20" w:name="title-page"/>
    <w:p>
      <w:pPr>
        <w:pStyle w:val="Heading2"/>
      </w:pPr>
      <w:r>
        <w:t xml:space="preserve">Title page</w: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t xml:space="preserve">Point-in-time options information for forecasting next-30-minute realised variance</w:t>
      </w:r>
    </w:p>
    <w:p>
      <w:pPr>
        <w:pStyle w:val="BodyText"/>
      </w:pPr>
      <w:r>
        <w:rPr>
          <w:bCs/>
          <w:b/>
        </w:rPr>
        <w:t xml:space="preserve">Author:</w:t>
      </w:r>
      <w:r>
        <w:t xml:space="preserve"> </w:t>
      </w:r>
      <w:r>
        <w:t xml:space="preserve">Miguel Guerrero Quijano</w:t>
      </w:r>
    </w:p>
    <w:p>
      <w:pPr>
        <w:pStyle w:val="BodyText"/>
      </w:pPr>
      <w:r>
        <w:rPr>
          <w:bCs/>
          <w:b/>
        </w:rPr>
        <w:t xml:space="preserve">Course:</w:t>
      </w:r>
      <w:r>
        <w:t xml:space="preserve"> </w:t>
      </w:r>
      <w:r>
        <w:t xml:space="preserve">MDS650 Capstone Research Project</w:t>
      </w:r>
    </w:p>
    <w:p>
      <w:pPr>
        <w:pStyle w:val="BodyText"/>
      </w:pPr>
      <w:r>
        <w:rPr>
          <w:bCs/>
          <w:b/>
        </w:rPr>
        <w:t xml:space="preserve">Document:</w:t>
      </w:r>
      <w:r>
        <w:t xml:space="preserve"> </w:t>
      </w:r>
      <w:r>
        <w:t xml:space="preserve">Capstone report, evidence-cutoff version</w:t>
      </w:r>
    </w:p>
    <w:p>
      <w:pPr>
        <w:pStyle w:val="BodyText"/>
      </w:pPr>
      <w:r>
        <w:rPr>
          <w:bCs/>
          <w:b/>
        </w:rPr>
        <w:t xml:space="preserve">Evidence cutoff:</w:t>
      </w:r>
      <w:r>
        <w:t xml:space="preserve"> </w:t>
      </w:r>
      <w:r>
        <w:t xml:space="preserve">28 August 2026 (Australia/Sydney)</w:t>
      </w:r>
    </w:p>
    <w:bookmarkEnd w:id="20"/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project asks whether option-market information improves out-of-sample prediction of</w:t>
      </w:r>
      <w:r>
        <w:t xml:space="preserve"> </w:t>
      </w:r>
      <w:r>
        <w:t xml:space="preserve">the next thirty minutes of realised variance (RV30) for six large US equities. At</w:t>
      </w:r>
      <w:r>
        <w:t xml:space="preserve"> </w:t>
      </w:r>
      <w:r>
        <w:t xml:space="preserve">five-minute New York-session origins it compares three nested information sets on</w:t>
      </w:r>
      <w:r>
        <w:t xml:space="preserve"> </w:t>
      </w:r>
      <w:r>
        <w:t xml:space="preserve">identical rows: underlying and market state (B0), option-surface state (B1), and</w:t>
      </w:r>
      <w:r>
        <w:t xml:space="preserve"> </w:t>
      </w:r>
      <w:r>
        <w:t xml:space="preserve">point-in-time option-trade flow (B2). The current corrected-protocol run measures 389</w:t>
      </w:r>
      <w:r>
        <w:t xml:space="preserve"> </w:t>
      </w:r>
      <w:r>
        <w:t xml:space="preserve">discovery sessions and 80 later validation sessions with three model families and QLIKE.</w:t>
      </w:r>
      <w:r>
        <w:t xml:space="preserve"> </w:t>
      </w:r>
      <w:r>
        <w:t xml:space="preserve">It is retrospective and exploratory: validation was used adaptively during development,</w:t>
      </w:r>
      <w:r>
        <w:t xml:space="preserve"> </w:t>
      </w:r>
      <w:r>
        <w:t xml:space="preserve">and the stricter sequential alpha is a conservative post-hoc sensitivity rather than a</w:t>
      </w:r>
      <w:r>
        <w:t xml:space="preserve"> </w:t>
      </w:r>
      <w:r>
        <w:t xml:space="preserve">preregistered confirmation. Discovery ΔB1 is positive in all three families; validation</w:t>
      </w:r>
      <w:r>
        <w:t xml:space="preserve"> </w:t>
      </w:r>
      <w:r>
        <w:t xml:space="preserve">does not establish a replicated option-state contribution. ΔB2|B1 is small, mixed by</w:t>
      </w:r>
      <w:r>
        <w:t xml:space="preserve"> </w:t>
      </w:r>
      <w:r>
        <w:t xml:space="preserve">family and partition, and does not establish a universal flow contribution. Nine of the</w:t>
      </w:r>
      <w:r>
        <w:t xml:space="preserve"> </w:t>
      </w:r>
      <w:r>
        <w:t xml:space="preserve">twelve contrasts are below their own minimum detectable effect. Provider source-time and</w:t>
      </w:r>
      <w:r>
        <w:t xml:space="preserve"> </w:t>
      </w:r>
      <w:r>
        <w:t xml:space="preserve">record-creation rules prevent look-ahead under documented assumptions, but they do not</w:t>
      </w:r>
      <w:r>
        <w:t xml:space="preserve"> </w:t>
      </w:r>
      <w:r>
        <w:t xml:space="preserve">prove historical client receipt time; PIT v2.2 reconciliation therefore remains blocked.</w:t>
      </w:r>
      <w:r>
        <w:t xml:space="preserve"> </w:t>
      </w:r>
      <w:r>
        <w:t xml:space="preserve">Phase 8 is an unopened exploratory bridge and Phase 9 is an ongoing 60-session prospective</w:t>
      </w:r>
      <w:r>
        <w:t xml:space="preserve"> </w:t>
      </w:r>
      <w:r>
        <w:t xml:space="preserve">follow-up, not a submission gate. No causal, directional, confirmatory or profitability</w:t>
      </w:r>
      <w:r>
        <w:t xml:space="preserve"> </w:t>
      </w:r>
      <w:r>
        <w:t xml:space="preserve">claim is made, and</w:t>
      </w:r>
      <w:r>
        <w:t xml:space="preserve"> </w:t>
      </w:r>
      <w:r>
        <w:rPr>
          <w:rStyle w:val="VerbatimChar"/>
        </w:rPr>
        <w:t xml:space="preserve">sealed_cohorts_read=0</w:t>
      </w:r>
      <w:r>
        <w:t xml:space="preserve">.</w:t>
      </w:r>
    </w:p>
    <w:bookmarkEnd w:id="21"/>
    <w:bookmarkStart w:id="22" w:name="Xe3d0fc0bea9a42ce7605565d0964033d7f6ee47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Short-horizon realised-variance forecasting sits at the intersection of two mature</w:t>
      </w:r>
      <w:r>
        <w:t xml:space="preserve"> </w:t>
      </w:r>
      <w:r>
        <w:t xml:space="preserve">literatures: autoregressive realised-variance modelling, in which heterogeneous lag</w:t>
      </w:r>
      <w:r>
        <w:t xml:space="preserve"> </w:t>
      </w:r>
      <w:r>
        <w:t xml:space="preserve">structures (HAR-type models) set a demanding baseline, and options-based volatility</w:t>
      </w:r>
      <w:r>
        <w:t xml:space="preserve"> </w:t>
      </w:r>
      <w:r>
        <w:t xml:space="preserve">forecasting, in which option prices are treated as forward-looking information. Between</w:t>
      </w:r>
      <w:r>
        <w:t xml:space="preserve"> </w:t>
      </w:r>
      <w:r>
        <w:t xml:space="preserve">them lies a specific and under-tested question: does option-trade</w:t>
      </w:r>
      <w:r>
        <w:t xml:space="preserve"> </w:t>
      </w:r>
      <w:r>
        <w:rPr>
          <w:iCs/>
          <w:i/>
        </w:rPr>
        <w:t xml:space="preserve">activity</w:t>
      </w:r>
      <w:r>
        <w:t xml:space="preserve"> </w:t>
      </w:r>
      <w:r>
        <w:t xml:space="preserve">— what was</w:t>
      </w:r>
      <w:r>
        <w:t xml:space="preserve"> </w:t>
      </w:r>
      <w:r>
        <w:t xml:space="preserve">just traded, over and above what option</w:t>
      </w:r>
      <w:r>
        <w:t xml:space="preserve"> </w:t>
      </w:r>
      <w:r>
        <w:rPr>
          <w:iCs/>
          <w:i/>
        </w:rPr>
        <w:t xml:space="preserve">prices</w:t>
      </w:r>
      <w:r>
        <w:t xml:space="preserve"> </w:t>
      </w:r>
      <w:r>
        <w:t xml:space="preserve">already say — add incremental</w:t>
      </w:r>
      <w:r>
        <w:t xml:space="preserve"> </w:t>
      </w:r>
      <w:r>
        <w:t xml:space="preserve">predictive information at intraday horizons, when the forecaster is restricted to</w:t>
      </w:r>
      <w:r>
        <w:t xml:space="preserve"> </w:t>
      </w:r>
      <w:r>
        <w:t xml:space="preserve">information that was operationally available at the moment of the forecast?</w:t>
      </w:r>
    </w:p>
    <w:p>
      <w:pPr>
        <w:pStyle w:val="BodyText"/>
      </w:pPr>
      <w:r>
        <w:t xml:space="preserve">That restriction is the heart of this project. Existing evidence on options-based</w:t>
      </w:r>
      <w:r>
        <w:t xml:space="preserve"> </w:t>
      </w:r>
      <w:r>
        <w:t xml:space="preserve">volatility prediction is largely silent about operational availability: whether the</w:t>
      </w:r>
      <w:r>
        <w:t xml:space="preserve"> </w:t>
      </w:r>
      <w:r>
        <w:t xml:space="preserve">researcher's data existed, in the form used, at the moment the forecast pretends to have</w:t>
      </w:r>
      <w:r>
        <w:t xml:space="preserve"> </w:t>
      </w:r>
      <w:r>
        <w:t xml:space="preserve">been made. Activity-based predictors are especially exposed to that silence, because the</w:t>
      </w:r>
      <w:r>
        <w:t xml:space="preserve"> </w:t>
      </w:r>
      <w:r>
        <w:t xml:space="preserve">trade tape that carries them is a vendor product with its own publication delay, and a</w:t>
      </w:r>
      <w:r>
        <w:t xml:space="preserve"> </w:t>
      </w:r>
      <w:r>
        <w:t xml:space="preserve">forecast built from a record that arrived after its own origin is not a forecast. This</w:t>
      </w:r>
      <w:r>
        <w:t xml:space="preserve"> </w:t>
      </w:r>
      <w:r>
        <w:t xml:space="preserve">project therefore builds a source-time PIT panel from three commercial providers under</w:t>
      </w:r>
      <w:r>
        <w:t xml:space="preserve"> </w:t>
      </w:r>
      <w:r>
        <w:t xml:space="preserve">documented availability rules and fail-closed exclusions. The D/V analyses are</w:t>
      </w:r>
      <w:r>
        <w:t xml:space="preserve"> </w:t>
      </w:r>
      <w:r>
        <w:t xml:space="preserve">retrospective and exploratory; only separately frozen prospective protocols can support</w:t>
      </w:r>
      <w:r>
        <w:t xml:space="preserve"> </w:t>
      </w:r>
      <w:r>
        <w:t xml:space="preserve">one-read claims. A vendor source timestamp or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field is not relabelled as proof</w:t>
      </w:r>
      <w:r>
        <w:t xml:space="preserve"> </w:t>
      </w:r>
      <w:r>
        <w:t xml:space="preserve">of historical client receipt.</w:t>
      </w:r>
    </w:p>
    <w:p>
      <w:pPr>
        <w:pStyle w:val="BodyText"/>
      </w:pPr>
      <w:r>
        <w:t xml:space="preserve">The research question is strictly predictive-informational: does an expanded option-</w:t>
      </w:r>
      <w:r>
        <w:t xml:space="preserve"> </w:t>
      </w:r>
      <w:r>
        <w:t xml:space="preserve">information set reduce out-of-sample QLIKE loss for the realised variance of the next</w:t>
      </w:r>
      <w:r>
        <w:t xml:space="preserve"> </w:t>
      </w:r>
      <w:r>
        <w:t xml:space="preserve">thirty minutes (RV30) on identical forecast origins? Three nested information sets are</w:t>
      </w:r>
      <w:r>
        <w:t xml:space="preserve"> </w:t>
      </w:r>
      <w:r>
        <w:t xml:space="preserve">compared over the same origins, on a five-minute grid inside the regular session:</w:t>
      </w:r>
      <w:r>
        <w:t xml:space="preserve"> </w:t>
      </w:r>
      <w:r>
        <w:t xml:space="preserve">underlying and market state (B0); B0 plus contemporaneous option-surface state (B1); and</w:t>
      </w:r>
      <w:r>
        <w:t xml:space="preserve"> </w:t>
      </w:r>
      <w:r>
        <w:t xml:space="preserve">B1 plus point-in-time option-trade flow (B2). Two estimands follow — the option-state</w:t>
      </w:r>
      <w:r>
        <w:t xml:space="preserve"> </w:t>
      </w:r>
      <w:r>
        <w:t xml:space="preserve">increment ΔB1, defined as the QLIKE of B0 minus the QLIKE of B1, and the conditional</w:t>
      </w:r>
      <w:r>
        <w:t xml:space="preserve"> </w:t>
      </w:r>
      <w:r>
        <w:t xml:space="preserve">activity increment ΔB2|B1, defined analogously. Both are estimated for three</w:t>
      </w:r>
      <w:r>
        <w:t xml:space="preserve"> </w:t>
      </w:r>
      <w:r>
        <w:t xml:space="preserve">fixed model families: a regularised gamma GLM, a ridge regression in logs, and a</w:t>
      </w:r>
      <w:r>
        <w:t xml:space="preserve"> </w:t>
      </w:r>
      <w:r>
        <w:t xml:space="preserve">gradient-boosted challenger trained on the QLIKE objective. Inference is made at the</w:t>
      </w:r>
      <w:r>
        <w:t xml:space="preserve"> </w:t>
      </w:r>
      <w:r>
        <w:t xml:space="preserve">level of the trading session through a circular block bootstrap, so the unit of</w:t>
      </w:r>
      <w:r>
        <w:t xml:space="preserve"> </w:t>
      </w:r>
      <w:r>
        <w:t xml:space="preserve">uncertainty is the day, not the origin. The roles of the sample are separated by time</w:t>
      </w:r>
      <w:r>
        <w:t xml:space="preserve"> </w:t>
      </w:r>
      <w:r>
        <w:t xml:space="preserve">and do not overlap: discovery covers 389 sessions (2024-08-02 to 2026-03-23) and</w:t>
      </w:r>
      <w:r>
        <w:t xml:space="preserve"> </w:t>
      </w:r>
      <w:r>
        <w:t xml:space="preserve">validation 80 (2026-03-24 to 2026-07-17), over six outcome equities on a single exchange</w:t>
      </w:r>
      <w:r>
        <w:t xml:space="preserve"> </w:t>
      </w:r>
      <w:r>
        <w:t xml:space="preserve">calendar. No claim about direction, trader intent, causality or profitability is in</w:t>
      </w:r>
      <w:r>
        <w:t xml:space="preserve"> </w:t>
      </w:r>
      <w:r>
        <w:t xml:space="preserve">scope.</w:t>
      </w:r>
    </w:p>
    <w:p>
      <w:pPr>
        <w:pStyle w:val="BodyText"/>
      </w:pPr>
      <w:r>
        <w:t xml:space="preserve">Four contributions remain after those limits are imposed. First, the project implements a</w:t>
      </w:r>
      <w:r>
        <w:t xml:space="preserve"> </w:t>
      </w:r>
      <w:r>
        <w:t xml:space="preserve">nested intraday design whose rows, splits and session-level uncertainty are auditable.</w:t>
      </w:r>
      <w:r>
        <w:t xml:space="preserve"> </w:t>
      </w:r>
      <w:r>
        <w:t xml:space="preserve">Second, it measures how the option-state increment changes after conditioning on lagged</w:t>
      </w:r>
      <w:r>
        <w:t xml:space="preserve"> </w:t>
      </w:r>
      <w:r>
        <w:t xml:space="preserve">intraday realised variance, without promoting the exploratory D/V result. Third, every</w:t>
      </w:r>
      <w:r>
        <w:t xml:space="preserve"> </w:t>
      </w:r>
      <w:r>
        <w:t xml:space="preserve">increment is reported beside its minimum detectable effect, separating absence of evidence</w:t>
      </w:r>
      <w:r>
        <w:t xml:space="preserve"> </w:t>
      </w:r>
      <w:r>
        <w:t xml:space="preserve">from evidence of absence. Fourth, it supplies fail-closed source-time PIT machinery,</w:t>
      </w:r>
      <w:r>
        <w:t xml:space="preserve"> </w:t>
      </w:r>
      <w:r>
        <w:t xml:space="preserve">access-ledgered sealed cohorts and reproducible paired-session inference. The empirical arc</w:t>
      </w:r>
      <w:r>
        <w:t xml:space="preserve"> </w:t>
      </w:r>
      <w:r>
        <w:t xml:space="preserve">is correspondingly bounded: discovery ΔB1 is positive, validation does not confirm it,</w:t>
      </w:r>
      <w:r>
        <w:t xml:space="preserve"> </w:t>
      </w:r>
      <w:r>
        <w:t xml:space="preserve">ΔB2|B1 is family- and partition-dependent, and the current bundle cannot be reconciled</w:t>
      </w:r>
      <w:r>
        <w:t xml:space="preserve"> </w:t>
      </w:r>
      <w:r>
        <w:t xml:space="preserve">into an eligible headline until PIT v2.2 clears.</w:t>
      </w:r>
    </w:p>
    <w:bookmarkEnd w:id="22"/>
    <w:bookmarkStart w:id="23" w:name="Xe6f33f15488280d70f3858ac5d64bf720282e0a"/>
    <w:p>
      <w:pPr>
        <w:pStyle w:val="Heading2"/>
      </w:pPr>
      <w:r>
        <w:t xml:space="preserve">2. Literature review</w:t>
      </w:r>
    </w:p>
    <w:p>
      <w:pPr>
        <w:pStyle w:val="FirstParagraph"/>
      </w:pPr>
      <w:r>
        <w:t xml:space="preserve">The literature boundary is the checked-in evidence ledger. Full-text, abstract-only and</w:t>
      </w:r>
      <w:r>
        <w:t xml:space="preserve"> </w:t>
      </w:r>
      <w:r>
        <w:t xml:space="preserve">metadata-only sources are used only at their recorded claim strength.</w:t>
      </w:r>
    </w:p>
    <w:p>
      <w:pPr>
        <w:pStyle w:val="BodyText"/>
      </w:pPr>
      <w:r>
        <w:t xml:space="preserve">Four strands of prior work frame this design, and each made a prediction that the data</w:t>
      </w:r>
      <w:r>
        <w:t xml:space="preserve"> </w:t>
      </w:r>
      <w:r>
        <w:t xml:space="preserve">could have contradicted. Citation discipline is deliberately narrow: only sources</w:t>
      </w:r>
      <w:r>
        <w:t xml:space="preserve"> </w:t>
      </w:r>
      <w:r>
        <w:t xml:space="preserve">verified in the project's evidence ledger (</w:t>
      </w:r>
      <w:r>
        <w:rPr>
          <w:rStyle w:val="VerbatimChar"/>
        </w:rPr>
        <w:t xml:space="preserve">docs/literature_evidence_ledger_v2.csv</w:t>
      </w:r>
      <w:r>
        <w:t xml:space="preserve">) are</w:t>
      </w:r>
      <w:r>
        <w:t xml:space="preserve"> </w:t>
      </w:r>
      <w:r>
        <w:t xml:space="preserve">cited, and each is used only at the strength the ledger records for it, so that a</w:t>
      </w:r>
      <w:r>
        <w:t xml:space="preserve"> </w:t>
      </w:r>
      <w:r>
        <w:t xml:space="preserve">reference retained as an abstract is never asked to carry a numeric claim.</w:t>
      </w:r>
    </w:p>
    <w:p>
      <w:pPr>
        <w:pStyle w:val="BodyText"/>
      </w:pPr>
      <w:r>
        <w:t xml:space="preserve">The first strand is the heterogeneous-autoregressive tradition following Corsi (2009),</w:t>
      </w:r>
      <w:r>
        <w:t xml:space="preserve"> </w:t>
      </w:r>
      <w:r>
        <w:t xml:space="preserve">which models realised variance through a cascade of multi-horizon components. The ledger</w:t>
      </w:r>
      <w:r>
        <w:t xml:space="preserve"> </w:t>
      </w:r>
      <w:r>
        <w:t xml:space="preserve">retains the fully verified 2004 working-paper predecessor as the method reading copy; no</w:t>
      </w:r>
      <w:r>
        <w:t xml:space="preserve"> </w:t>
      </w:r>
      <w:r>
        <w:t xml:space="preserve">published-version page locator is asserted. Its prediction here</w:t>
      </w:r>
      <w:r>
        <w:t xml:space="preserve"> </w:t>
      </w:r>
      <w:r>
        <w:t xml:space="preserve">is procedural: a candidate predictor must beat a heterogeneous autoregressive baseline,</w:t>
      </w:r>
      <w:r>
        <w:t xml:space="preserve"> </w:t>
      </w:r>
      <w:r>
        <w:t xml:space="preserve">not merely a naive one. Recent evaluations sharpen the demand. Puke and Schweikert</w:t>
      </w:r>
      <w:r>
        <w:t xml:space="preserve"> </w:t>
      </w:r>
      <w:r>
        <w:t xml:space="preserve">(2026) show that HAR-type specifications remain the reference under QLIKE and MSE across</w:t>
      </w:r>
      <w:r>
        <w:t xml:space="preserve"> </w:t>
      </w:r>
      <w:r>
        <w:t xml:space="preserve">horizons, sampling frequencies and rolling-window lengths, and Kiliç (2025) reports that</w:t>
      </w:r>
      <w:r>
        <w:t xml:space="preserve"> </w:t>
      </w:r>
      <w:r>
        <w:t xml:space="preserve">threshold and smooth-transition variants outperform machine-learning alternatives when</w:t>
      </w:r>
      <w:r>
        <w:t xml:space="preserve"> </w:t>
      </w:r>
      <w:r>
        <w:t xml:space="preserve">the predictor set is limited. This project's results agree with the strand. Once the</w:t>
      </w:r>
      <w:r>
        <w:t xml:space="preserve"> </w:t>
      </w:r>
      <w:r>
        <w:t xml:space="preserve">field-standard baselines were added to the ladder, the HARQ implementation became the</w:t>
      </w:r>
      <w:r>
        <w:t xml:space="preserve"> </w:t>
      </w:r>
      <w:r>
        <w:t xml:space="preserve">strongest baseline available, and the option-activity block added a null-to-negative</w:t>
      </w:r>
      <w:r>
        <w:t xml:space="preserve"> </w:t>
      </w:r>
      <w:r>
        <w:t xml:space="preserve">increment on top of HAR and HARQ (§5.4). The default of the field explains these data;</w:t>
      </w:r>
      <w:r>
        <w:t xml:space="preserve"> </w:t>
      </w:r>
      <w:r>
        <w:t xml:space="preserve">the candidate predictor does not improve on it.</w:t>
      </w:r>
    </w:p>
    <w:p>
      <w:pPr>
        <w:pStyle w:val="BodyText"/>
      </w:pPr>
      <w:r>
        <w:t xml:space="preserve">The second strand is the implied-volatility informativeness literature. The</w:t>
      </w:r>
      <w:r>
        <w:t xml:space="preserve"> </w:t>
      </w:r>
      <w:r>
        <w:t xml:space="preserve">ledger-verified anchor used here is the modern machine-learning study by Michael, Cucuringu</w:t>
      </w:r>
      <w:r>
        <w:t xml:space="preserve"> </w:t>
      </w:r>
      <w:r>
        <w:t xml:space="preserve">and Howison (2025), who report that option-surface and model-derived features lift</w:t>
      </w:r>
      <w:r>
        <w:t xml:space="preserve"> </w:t>
      </w:r>
      <w:r>
        <w:t xml:space="preserve">selected specifications and that their gradient-boosted challenger beats the baseline in</w:t>
      </w:r>
      <w:r>
        <w:t xml:space="preserve"> </w:t>
      </w:r>
      <w:r>
        <w:t xml:space="preserve">76 percent of reported QLIKE cases. The prediction for this project is direct: the B1</w:t>
      </w:r>
      <w:r>
        <w:t xml:space="preserve"> </w:t>
      </w:r>
      <w:r>
        <w:t xml:space="preserve">information set should reduce loss relative to B0. What the data return is a two-part</w:t>
      </w:r>
      <w:r>
        <w:t xml:space="preserve"> </w:t>
      </w:r>
      <w:r>
        <w:t xml:space="preserve">answer that neither confirms nor refutes it. On the discovery role the option-state</w:t>
      </w:r>
      <w:r>
        <w:t xml:space="preserve"> </w:t>
      </w:r>
      <w:r>
        <w:t xml:space="preserve">increment is positive under all three fixed families. On the validation role, separated</w:t>
      </w:r>
      <w:r>
        <w:t xml:space="preserve"> </w:t>
      </w:r>
      <w:r>
        <w:t xml:space="preserve">from discovery by time but used adaptively during model and reporting development, no</w:t>
      </w:r>
      <w:r>
        <w:t xml:space="preserve"> </w:t>
      </w:r>
      <w:r>
        <w:t xml:space="preserve">family establishes a confirmatory result and the point estimates do not agree in sign</w:t>
      </w:r>
      <w:r>
        <w:t xml:space="preserve"> </w:t>
      </w:r>
      <w:r>
        <w:t xml:space="preserve">(§5.1). Design analysis removes the temptation to read that as a</w:t>
      </w:r>
      <w:r>
        <w:t xml:space="preserve"> </w:t>
      </w:r>
      <w:r>
        <w:t xml:space="preserve">refutation: no family was powered in validation against effects of the size discovery</w:t>
      </w:r>
      <w:r>
        <w:t xml:space="preserve"> </w:t>
      </w:r>
      <w:r>
        <w:t xml:space="preserve">reported (§5.1). The honest reconciliation is a scope statement, not a verdict. The</w:t>
      </w:r>
      <w:r>
        <w:t xml:space="preserve"> </w:t>
      </w:r>
      <w:r>
        <w:t xml:space="preserve">strand's evidence is rarely conditioned on rich lagged intraday realised variance and is</w:t>
      </w:r>
      <w:r>
        <w:t xml:space="preserve"> </w:t>
      </w:r>
      <w:r>
        <w:t xml:space="preserve">gathered predominantly at a daily horizon or longer; at thirty minutes, with those</w:t>
      </w:r>
      <w:r>
        <w:t xml:space="preserve"> </w:t>
      </w:r>
      <w:r>
        <w:t xml:space="preserve">controls in place and with inference at the session level, this study could not</w:t>
      </w:r>
      <w:r>
        <w:t xml:space="preserve"> </w:t>
      </w:r>
      <w:r>
        <w:t xml:space="preserve">reproduce the gain seen at discovery and could not have detected it either.</w:t>
      </w:r>
    </w:p>
    <w:p>
      <w:pPr>
        <w:pStyle w:val="BodyText"/>
      </w:pPr>
      <w:r>
        <w:t xml:space="preserve">The third strand is the options-activity and informed-trading literature, which motivates</w:t>
      </w:r>
      <w:r>
        <w:t xml:space="preserve"> </w:t>
      </w:r>
      <w:r>
        <w:t xml:space="preserve">B2 without licensing a claim about trader intent. The ledger's anchor for the modern</w:t>
      </w:r>
      <w:r>
        <w:t xml:space="preserve"> </w:t>
      </w:r>
      <w:r>
        <w:t xml:space="preserve">decomposition of informed option trading is</w:t>
      </w:r>
      <w:r>
        <w:t xml:space="preserve"> </w:t>
      </w:r>
      <w:r>
        <w:t xml:space="preserve">Asencio, Bernales, González, Holowczak and Verousis (2026), and the ledger is explicit</w:t>
      </w:r>
      <w:r>
        <w:t xml:space="preserve"> </w:t>
      </w:r>
      <w:r>
        <w:t xml:space="preserve">about its limits: it estimates informed-trading components rather than forecasting</w:t>
      </w:r>
      <w:r>
        <w:t xml:space="preserve"> </w:t>
      </w:r>
      <w:r>
        <w:t xml:space="preserve">realised variance, and it must never be used to infer trader intent from this project's</w:t>
      </w:r>
      <w:r>
        <w:t xml:space="preserve"> </w:t>
      </w:r>
      <w:r>
        <w:t xml:space="preserve">vendor labels. Read as a motivating prior rather than a benchmark, it asks whether recent</w:t>
      </w:r>
      <w:r>
        <w:t xml:space="preserve"> </w:t>
      </w:r>
      <w:r>
        <w:t xml:space="preserve">activity adds predictive information beyond option state. The measured increments are</w:t>
      </w:r>
      <w:r>
        <w:t xml:space="preserve"> </w:t>
      </w:r>
      <w:r>
        <w:t xml:space="preserve">small and mixed across families and partitions (§5.1), so they do not establish a</w:t>
      </w:r>
      <w:r>
        <w:t xml:space="preserve"> </w:t>
      </w:r>
      <w:r>
        <w:t xml:space="preserve">universal activity contribution.</w:t>
      </w:r>
    </w:p>
    <w:p>
      <w:pPr>
        <w:pStyle w:val="BodyText"/>
      </w:pPr>
      <w:r>
        <w:t xml:space="preserve">The fourth strand is the loss-function literature. The retained full text of Patton</w:t>
      </w:r>
      <w:r>
        <w:t xml:space="preserve"> </w:t>
      </w:r>
      <w:r>
        <w:t xml:space="preserve">(2011) supports QLIKE and MSE as robust variance-forecast comparison losses under imperfect</w:t>
      </w:r>
      <w:r>
        <w:t xml:space="preserve"> </w:t>
      </w:r>
      <w:r>
        <w:t xml:space="preserve">volatility proxies. In this project QLIKE also exposes conditional-mean calibration: a</w:t>
      </w:r>
      <w:r>
        <w:t xml:space="preserve"> </w:t>
      </w:r>
      <w:r>
        <w:t xml:space="preserve">feature that repairs a biased forecast can improve the score without identifying a new</w:t>
      </w:r>
      <w:r>
        <w:t xml:space="preserve"> </w:t>
      </w:r>
      <w:r>
        <w:t xml:space="preserve">market mechanism. That is precisely the failure</w:t>
      </w:r>
      <w:r>
        <w:t xml:space="preserve"> </w:t>
      </w:r>
      <w:r>
        <w:t xml:space="preserve">mode the design must guard against. Disagreement between model families is not an</w:t>
      </w:r>
      <w:r>
        <w:t xml:space="preserve"> </w:t>
      </w:r>
      <w:r>
        <w:t xml:space="preserve">anomaly to be explained away but an anticipated consequence of comparing a miscalibrated</w:t>
      </w:r>
      <w:r>
        <w:t xml:space="preserve"> </w:t>
      </w:r>
      <w:r>
        <w:t xml:space="preserve">family with a calibrated one under a calibration-sensitive loss, and the project measures</w:t>
      </w:r>
      <w:r>
        <w:t xml:space="preserve"> </w:t>
      </w:r>
      <w:r>
        <w:t xml:space="preserve">the channel directly by re-scoring out-of-evaluation Mincer-Zarnowitz recalibrated</w:t>
      </w:r>
      <w:r>
        <w:t xml:space="preserve"> </w:t>
      </w:r>
      <w:r>
        <w:t xml:space="preserve">forecasts (§5.3). Patton (2011) is the reason this report never pools families into a</w:t>
      </w:r>
      <w:r>
        <w:t xml:space="preserve"> </w:t>
      </w:r>
      <w:r>
        <w:t xml:space="preserve">single verdict and never treats one family's increment as the study's answer.</w:t>
      </w:r>
    </w:p>
    <w:p>
      <w:pPr>
        <w:pStyle w:val="BodyText"/>
      </w:pPr>
      <w:r>
        <w:t xml:space="preserve">A fifth, weaker body of work supplies comparative context. At metadata/abstract strength</w:t>
      </w:r>
      <w:r>
        <w:t xml:space="preserve"> </w:t>
      </w:r>
      <w:r>
        <w:t xml:space="preserve">only, Díaz, Hansen and Cabrera (2024) report horizon-dependent ML-versus-HAR results and</w:t>
      </w:r>
      <w:r>
        <w:t xml:space="preserve"> </w:t>
      </w:r>
      <w:r>
        <w:t xml:space="preserve">Li, Xie, Wang, Zhu, Zeng and Gong (2024) report non-uniform gains from shrinkage HAR.</w:t>
      </w:r>
      <w:r>
        <w:t xml:space="preserve"> </w:t>
      </w:r>
      <w:r>
        <w:t xml:space="preserve">Neither source is used for an exact table or numerical claim. Caporin, Di Fonzo and</w:t>
      </w:r>
      <w:r>
        <w:t xml:space="preserve"> </w:t>
      </w:r>
      <w:r>
        <w:t xml:space="preserve">Girolimetto (2024), Zhang, Song, Peng</w:t>
      </w:r>
      <w:r>
        <w:t xml:space="preserve"> </w:t>
      </w:r>
      <w:r>
        <w:t xml:space="preserve">and Wang (2024) and Omer, Månsson, Sjölander and Uddin (2026) each obtain gains from</w:t>
      </w:r>
      <w:r>
        <w:t xml:space="preserve"> </w:t>
      </w:r>
      <w:r>
        <w:t xml:space="preserve">richer intraday structure, jump-aware deep learning, and regularisation and tree</w:t>
      </w:r>
      <w:r>
        <w:t xml:space="preserve"> </w:t>
      </w:r>
      <w:r>
        <w:t xml:space="preserve">methods, but none targets a thirty-minute equity horizon with option data and one is a</w:t>
      </w:r>
      <w:r>
        <w:t xml:space="preserve"> </w:t>
      </w:r>
      <w:r>
        <w:t xml:space="preserve">commodity study; they position this work rather than transfer to it.</w:t>
      </w:r>
    </w:p>
    <w:p>
      <w:pPr>
        <w:pStyle w:val="BodyText"/>
      </w:pPr>
      <w:r>
        <w:t xml:space="preserve">The gap follows from the strands rather than from a claim of novelty. None of the</w:t>
      </w:r>
      <w:r>
        <w:t xml:space="preserve"> </w:t>
      </w:r>
      <w:r>
        <w:t xml:space="preserve">ledger-verified sources evaluates option-trade activity at an intraday horizon under</w:t>
      </w:r>
      <w:r>
        <w:t xml:space="preserve"> </w:t>
      </w:r>
      <w:r>
        <w:t xml:space="preserve">explicit operational-availability rules, with information sets nested on identical</w:t>
      </w:r>
      <w:r>
        <w:t xml:space="preserve"> </w:t>
      </w:r>
      <w:r>
        <w:t xml:space="preserve">forecast origins, and none reports the sample size at which its own null would have been</w:t>
      </w:r>
      <w:r>
        <w:t xml:space="preserve"> </w:t>
      </w:r>
      <w:r>
        <w:t xml:space="preserve">detectable. The design consequence is that the quantity treated as central here is not a</w:t>
      </w:r>
      <w:r>
        <w:t xml:space="preserve"> </w:t>
      </w:r>
      <w:r>
        <w:t xml:space="preserve">p-value but a minimum detectable effect, and that the strands above are answered with</w:t>
      </w:r>
      <w:r>
        <w:t xml:space="preserve"> </w:t>
      </w:r>
      <w:r>
        <w:t xml:space="preserve">stated precision. The sealed prospective campaigns remain future evidence rather than</w:t>
      </w:r>
      <w:r>
        <w:t xml:space="preserve"> </w:t>
      </w:r>
      <w:r>
        <w:t xml:space="preserve">being narrated as if their outcome were already known.</w:t>
      </w:r>
    </w:p>
    <w:bookmarkEnd w:id="23"/>
    <w:bookmarkStart w:id="24" w:name="X88d3c05de5ae6f586c370a9175780f937e6a3ca"/>
    <w:p>
      <w:pPr>
        <w:pStyle w:val="Heading2"/>
      </w:pPr>
      <w:r>
        <w:t xml:space="preserve">3. Data and point-in-time discipline</w:t>
      </w:r>
    </w:p>
    <w:p>
      <w:pPr>
        <w:pStyle w:val="FirstParagraph"/>
      </w:pPr>
      <w:r>
        <w:t xml:space="preserve">Three commercial providers feed the panel. FMP supplies the one-minute underlying bars from</w:t>
      </w:r>
      <w:r>
        <w:t xml:space="preserve"> </w:t>
      </w:r>
      <w:r>
        <w:t xml:space="preserve">which both the target and the lagged realised-variance features are built; Massive, a</w:t>
      </w:r>
      <w:r>
        <w:t xml:space="preserve"> </w:t>
      </w:r>
      <w:r>
        <w:t xml:space="preserve">Polygon-compatible service, supplies the independent observations against which those bars</w:t>
      </w:r>
      <w:r>
        <w:t xml:space="preserve"> </w:t>
      </w:r>
      <w:r>
        <w:t xml:space="preserve">and the option surface are audited; Unusual Whales supplies the option-trade tape,</w:t>
      </w:r>
      <w:r>
        <w:t xml:space="preserve"> </w:t>
      </w:r>
      <w:r>
        <w:t xml:space="preserve">1,461,521,313 rows across the 469 sessions of the study window, streamed in full rather than</w:t>
      </w:r>
      <w:r>
        <w:t xml:space="preserve"> </w:t>
      </w:r>
      <w:r>
        <w:t xml:space="preserve">sampled. Raw licensed data live outside the repository; the committed evidence is code,</w:t>
      </w:r>
      <w:r>
        <w:t xml:space="preserve"> </w:t>
      </w:r>
      <w:r>
        <w:t xml:space="preserve">schemas, preregistration manifests, SHA-256 hashes for every derived panel, access ledgers</w:t>
      </w:r>
      <w:r>
        <w:t xml:space="preserve"> </w:t>
      </w:r>
      <w:r>
        <w:t xml:space="preserve">and aggregate artifacts — auditability rather than redistribution.</w:t>
      </w:r>
    </w:p>
    <w:p>
      <w:pPr>
        <w:pStyle w:val="BodyText"/>
      </w:pPr>
      <w:r>
        <w:t xml:space="preserve">The target is unannualised RV30: the sum of thirty squared one-minute log returns from</w:t>
      </w:r>
      <w:r>
        <w:t xml:space="preserve"> </w:t>
      </w:r>
      <w:r>
        <w:t xml:space="preserve">thirty-one consecutive closes following each forecast origin. Origins lie on a five-minute</w:t>
      </w:r>
      <w:r>
        <w:t xml:space="preserve"> </w:t>
      </w:r>
      <w:r>
        <w:t xml:space="preserve">grid from session minute 30 to 355 of the regular XNYS session, sixty-six per session-asset.</w:t>
      </w:r>
      <w:r>
        <w:t xml:space="preserve"> </w:t>
      </w:r>
      <w:r>
        <w:t xml:space="preserve">The outcome universe is six liquid mega-cap equities (AAPL, AMZN, META, MSFT, NVDA, TSLA),</w:t>
      </w:r>
      <w:r>
        <w:t xml:space="preserve"> </w:t>
      </w:r>
      <w:r>
        <w:t xml:space="preserve">with SPY and QQQ entering only as market controls — a deliberate, stated scope limitation</w:t>
      </w:r>
      <w:r>
        <w:t xml:space="preserve"> </w:t>
      </w:r>
      <w:r>
        <w:t xml:space="preserve">(§7). The assembled panel holds 184,632 origins over 2,814 session-assets, none dropped for</w:t>
      </w:r>
      <w:r>
        <w:t xml:space="preserve"> </w:t>
      </w:r>
      <w:r>
        <w:t xml:space="preserve">a sparse minute grid. One property of the target matters before any model does: its relative</w:t>
      </w:r>
      <w:r>
        <w:t xml:space="preserve"> </w:t>
      </w:r>
      <w:r>
        <w:t xml:space="preserve">standard error at this horizon has a median of 25.7 per cent in discovery, so roughly a</w:t>
      </w:r>
      <w:r>
        <w:t xml:space="preserve"> </w:t>
      </w:r>
      <w:r>
        <w:t xml:space="preserve">quarter of what is being predicted is the estimator's own sampling error.</w:t>
      </w:r>
    </w:p>
    <w:p>
      <w:pPr>
        <w:pStyle w:val="BodyText"/>
      </w:pPr>
      <w:r>
        <w:t xml:space="preserve">Both option blocks are defined by availability, not by convenience. B1 is a contemporaneous</w:t>
      </w:r>
      <w:r>
        <w:t xml:space="preserve"> </w:t>
      </w:r>
      <w:r>
        <w:t xml:space="preserve">option-state snapshot: the last observation of every contract timestamped at or before the</w:t>
      </w:r>
      <w:r>
        <w:t xml:space="preserve"> </w:t>
      </w:r>
      <w:r>
        <w:t xml:space="preserve">origin minus 120 seconds and no older than thirty minutes, from which implied variance at</w:t>
      </w:r>
      <w:r>
        <w:t xml:space="preserve"> </w:t>
      </w:r>
      <w:r>
        <w:t xml:space="preserve">fixed maturities, term and smile shape, a 25-delta risk reversal and quote-quality fields</w:t>
      </w:r>
      <w:r>
        <w:t xml:space="preserve"> </w:t>
      </w:r>
      <w:r>
        <w:t xml:space="preserve">are computed. Coverage of the ten B1-core features is 99.3 per cent and the median snapshot</w:t>
      </w:r>
      <w:r>
        <w:t xml:space="preserve"> </w:t>
      </w:r>
      <w:r>
        <w:t xml:space="preserve">carries 783 contracts. B2 adds the point-in-time trade tape under the same cutoff, and the</w:t>
      </w:r>
      <w:r>
        <w:t xml:space="preserve"> </w:t>
      </w:r>
      <w:r>
        <w:t xml:space="preserve">panel records zero availability violations. Because the surface is reconstructed from the</w:t>
      </w:r>
      <w:r>
        <w:t xml:space="preserve"> </w:t>
      </w:r>
      <w:r>
        <w:t xml:space="preserve">quotes carried on trades, a contract enters only if somebody traded it; that selection was</w:t>
      </w:r>
      <w:r>
        <w:t xml:space="preserve"> </w:t>
      </w:r>
      <w:r>
        <w:t xml:space="preserve">measured rather than assumed: against a directly quoted chain the traded surface understates</w:t>
      </w:r>
      <w:r>
        <w:t xml:space="preserve"> </w:t>
      </w:r>
      <w:r>
        <w:t xml:space="preserve">put skew by 46 per cent, while its at-the-money level — the feature the later blocks consume</w:t>
      </w:r>
      <w:r>
        <w:t xml:space="preserve"> </w:t>
      </w:r>
      <w:r>
        <w:t xml:space="preserve">— is essentially unbiased.</w:t>
      </w:r>
    </w:p>
    <w:p>
      <w:pPr>
        <w:pStyle w:val="BodyText"/>
      </w:pPr>
      <w:r>
        <w:t xml:space="preserve">The availability evidence is asymmetric. The bar-label audit supports the project's</w:t>
      </w:r>
      <w:r>
        <w:t xml:space="preserve"> </w:t>
      </w:r>
      <w:r>
        <w:t xml:space="preserve">conservative FMP</w:t>
      </w:r>
      <w:r>
        <w:t xml:space="preserve"> </w:t>
      </w:r>
      <w:r>
        <w:rPr>
          <w:rStyle w:val="VerbatimChar"/>
        </w:rPr>
        <w:t xml:space="preserve">+1 minute</w:t>
      </w:r>
      <w:r>
        <w:t xml:space="preserve"> </w:t>
      </w:r>
      <w:r>
        <w:t xml:space="preserve">rule (with</w:t>
      </w:r>
      <w:r>
        <w:t xml:space="preserve"> </w:t>
      </w:r>
      <w:r>
        <w:rPr>
          <w:rStyle w:val="VerbatimChar"/>
        </w:rPr>
        <w:t xml:space="preserve">+2 minutes</w:t>
      </w:r>
      <w:r>
        <w:t xml:space="preserve"> </w:t>
      </w:r>
      <w:r>
        <w:t xml:space="preserve">sensitivity) and Massive SIP as-of</w:t>
      </w:r>
      <w:r>
        <w:t xml:space="preserve"> </w:t>
      </w:r>
      <w:r>
        <w:t xml:space="preserve">selection. For the trade tape, Unusual Whales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remains</w:t>
      </w:r>
      <w:r>
        <w:t xml:space="preserve"> </w:t>
      </w:r>
      <w:r>
        <w:rPr>
          <w:rStyle w:val="VerbatimChar"/>
        </w:rPr>
        <w:t xml:space="preserve">PROXY_ONLY</w:t>
      </w:r>
      <w:r>
        <w:t xml:space="preserve">: it is a</w:t>
      </w:r>
      <w:r>
        <w:t xml:space="preserve"> </w:t>
      </w:r>
      <w:r>
        <w:t xml:space="preserve">record-creation timestamp, not provider-proven publication time or historical client</w:t>
      </w:r>
      <w:r>
        <w:t xml:space="preserve"> </w:t>
      </w:r>
      <w:r>
        <w:t xml:space="preserve">receipt. PIT v2.2 therefore excludes 451 of 77,328 predictor rows rather than recoding</w:t>
      </w:r>
      <w:r>
        <w:t xml:space="preserve"> </w:t>
      </w:r>
      <w:r>
        <w:t xml:space="preserve">delayed records as zero activity, and it keeps</w:t>
      </w:r>
      <w:r>
        <w:t xml:space="preserve"> </w:t>
      </w:r>
      <w:r>
        <w:rPr>
          <w:rStyle w:val="VerbatimChar"/>
        </w:rPr>
        <w:t xml:space="preserve">SAFE_TO_RECONCILE_EXISTING_RESULTS=NO</w:t>
      </w:r>
      <w:r>
        <w:t xml:space="preserve">. The timing machinery prevents source-time</w:t>
      </w:r>
      <w:r>
        <w:t xml:space="preserve"> </w:t>
      </w:r>
      <w:r>
        <w:t xml:space="preserve">look-ahead under its documented assumptions; it does not establish a universal provider-</w:t>
      </w:r>
      <w:r>
        <w:t xml:space="preserve"> </w:t>
      </w:r>
      <w:r>
        <w:t xml:space="preserve">latency claim.</w:t>
      </w:r>
    </w:p>
    <w:p>
      <w:pPr>
        <w:pStyle w:val="BodyText"/>
      </w:pPr>
      <w:r>
        <w:t xml:space="preserve">Discipline also means repairing data rather than smoothing over it. Two discovery bar</w:t>
      </w:r>
      <w:r>
        <w:t xml:space="preserve"> </w:t>
      </w:r>
      <w:r>
        <w:t xml:space="preserve">stores carried only closes, and the session grid had reconstructed the absent range and</w:t>
      </w:r>
      <w:r>
        <w:t xml:space="preserve"> </w:t>
      </w:r>
      <w:r>
        <w:t xml:space="preserve">volume from the close and from zero, fabricating three features on 22,967 of 152,954</w:t>
      </w:r>
      <w:r>
        <w:t xml:space="preserve"> </w:t>
      </w:r>
      <w:r>
        <w:t xml:space="preserve">discovery origins and on none of the validation origins. The fix was re-acquisition, not</w:t>
      </w:r>
      <w:r>
        <w:t xml:space="preserve"> </w:t>
      </w:r>
      <w:r>
        <w:t xml:space="preserve">imputation; minutes whose recorded zero volume their own price range contradicts are now</w:t>
      </w:r>
      <w:r>
        <w:t xml:space="preserve"> </w:t>
      </w:r>
      <w:r>
        <w:t xml:space="preserve">carried as missing.</w:t>
      </w:r>
    </w:p>
    <w:p>
      <w:pPr>
        <w:pStyle w:val="BodyText"/>
      </w:pPr>
      <w:r>
        <w:t xml:space="preserve">The evaluation design separates roles by time, and the separation is exact. Discovery (D)</w:t>
      </w:r>
      <w:r>
        <w:t xml:space="preserve"> </w:t>
      </w:r>
      <w:r>
        <w:t xml:space="preserve">runs from 2024-08-02 to 2026-03-23, 389 sessions and 152,954 origins; validation (V) runs</w:t>
      </w:r>
      <w:r>
        <w:t xml:space="preserve"> </w:t>
      </w:r>
      <w:r>
        <w:t xml:space="preserve">from 2026-03-24 to 2026-07-17, 80 sessions and 31,678 origins. The two universes share</w:t>
      </w:r>
      <w:r>
        <w:t xml:space="preserve"> </w:t>
      </w:r>
      <w:r>
        <w:t xml:space="preserve">assets, calendar and feature recipe, and no calendar day belongs to both: D ends the session</w:t>
      </w:r>
      <w:r>
        <w:t xml:space="preserve"> </w:t>
      </w:r>
      <w:r>
        <w:t xml:space="preserve">before V begins, and the partition was frozen by content hash before these analyses ran.</w:t>
      </w:r>
      <w:r>
        <w:t xml:space="preserve"> </w:t>
      </w:r>
      <w:r>
        <w:t xml:space="preserve">Within each universe models are fitted on the chronologically first sixty per cent of</w:t>
      </w:r>
      <w:r>
        <w:t xml:space="preserve"> </w:t>
      </w:r>
      <w:r>
        <w:t xml:space="preserve">sessions and evaluated on the rest, so the inference unit is 156 evaluated sessions in D and</w:t>
      </w:r>
      <w:r>
        <w:t xml:space="preserve"> </w:t>
      </w:r>
      <w:r>
        <w:t xml:space="preserve">32 in V — a property of the sample, not of the estimator, and one that §5 and §7 return to.</w:t>
      </w:r>
      <w:r>
        <w:t xml:space="preserve"> </w:t>
      </w:r>
      <w:r>
        <w:t xml:space="preserve">D spans a wide range of market conditions, including the August 2024 volatility shock, in</w:t>
      </w:r>
      <w:r>
        <w:t xml:space="preserve"> </w:t>
      </w:r>
      <w:r>
        <w:t xml:space="preserve">whose window the VIX reached 38.6, and the November 2024 election week; the stretch of V</w:t>
      </w:r>
      <w:r>
        <w:t xml:space="preserve"> </w:t>
      </w:r>
      <w:r>
        <w:t xml:space="preserve">from 2026-05-20 to 2026-07-17 is unremarkable by comparison, with a VIX median of 16.7. The</w:t>
      </w:r>
      <w:r>
        <w:t xml:space="preserve"> </w:t>
      </w:r>
      <w:r>
        <w:t xml:space="preserve">eras also differ in difficulty: the same three-term price-history regression attains an</w:t>
      </w:r>
      <w:r>
        <w:t xml:space="preserve"> </w:t>
      </w:r>
      <w:r>
        <w:t xml:space="preserve">out-of-sample log R² of 0.796 in D and 0.553 in V, so the underlying itself became less</w:t>
      </w:r>
      <w:r>
        <w:t xml:space="preserve"> </w:t>
      </w:r>
      <w:r>
        <w:t xml:space="preserve">forecastable, and any comparison of effect sizes across the two must carry that. A third</w:t>
      </w:r>
      <w:r>
        <w:t xml:space="preserve"> </w:t>
      </w:r>
      <w:r>
        <w:t xml:space="preserve">cohort, sealed and prospective, is recorded by protocol reference only; it is never</w:t>
      </w:r>
      <w:r>
        <w:t xml:space="preserve"> </w:t>
      </w:r>
      <w:r>
        <w:t xml:space="preserve">enumerated, sampled or read here. Its exploratory bridge is described separately in §5.2</w:t>
      </w:r>
      <w:r>
        <w:t xml:space="preserve"> </w:t>
      </w:r>
      <w:r>
        <w:t xml:space="preserve">without inventing an outcome.</w:t>
      </w:r>
    </w:p>
    <w:bookmarkEnd w:id="24"/>
    <w:bookmarkStart w:id="30" w:name="X4e0404407b2823f6ed5ea6a6c1651c2e996b033"/>
    <w:p>
      <w:pPr>
        <w:pStyle w:val="Heading2"/>
      </w:pPr>
      <w:r>
        <w:t xml:space="preserve">4. Methodology</w:t>
      </w:r>
    </w:p>
    <w:bookmarkStart w:id="25" w:name="Xff0e1f0668c26b247076b911ef7c636c72af8da"/>
    <w:p>
      <w:pPr>
        <w:pStyle w:val="Heading3"/>
      </w:pPr>
      <w:r>
        <w:t xml:space="preserve">4.1 Nested information sets on identical origins</w:t>
      </w:r>
    </w:p>
    <w:p>
      <w:pPr>
        <w:pStyle w:val="FirstParagraph"/>
      </w:pPr>
      <w:r>
        <w:t xml:space="preserve">The three information sets introduced in §1 are strictly nested — B0, then B0+B1 adding the</w:t>
      </w:r>
      <w:r>
        <w:t xml:space="preserve"> </w:t>
      </w:r>
      <w:r>
        <w:t xml:space="preserve">contemporaneous option-state snapshot, then B0+B1+B2 adding point-in-time option-flow</w:t>
      </w:r>
      <w:r>
        <w:t xml:space="preserve"> </w:t>
      </w:r>
      <w:r>
        <w:t xml:space="preserve">activity — and each larger set is the smaller one plus a feature block, scored on the same</w:t>
      </w:r>
      <w:r>
        <w:t xml:space="preserve"> </w:t>
      </w:r>
      <w:r>
        <w:t xml:space="preserve">origins. Every contrast is therefore a paired difference of losses in which asset mix,</w:t>
      </w:r>
      <w:r>
        <w:t xml:space="preserve"> </w:t>
      </w:r>
      <w:r>
        <w:t xml:space="preserve">session mix and market regime cancel by construction, and only the information differs.</w:t>
      </w:r>
    </w:p>
    <w:p>
      <w:pPr>
        <w:pStyle w:val="BodyText"/>
      </w:pPr>
      <w:r>
        <w:t xml:space="preserve">Comparisons are also family-matched: a model family is compared against itself across</w:t>
      </w:r>
      <w:r>
        <w:t xml:space="preserve"> </w:t>
      </w:r>
      <w:r>
        <w:t xml:space="preserve">information sets, never against another family (</w:t>
      </w:r>
      <w:r>
        <w:rPr>
          <w:rStyle w:val="VerbatimChar"/>
        </w:rPr>
        <w:t xml:space="preserve">docs/rp2_v3/RESEARCH_CONTRACT.md</w:t>
      </w:r>
      <w:r>
        <w:t xml:space="preserve">). Three</w:t>
      </w:r>
      <w:r>
        <w:t xml:space="preserve"> </w:t>
      </w:r>
      <w:r>
        <w:t xml:space="preserve">families were frozen before any delta existed — a Gamma GLM with log link (</w:t>
      </w:r>
      <w:r>
        <w:rPr>
          <w:rStyle w:val="VerbatimChar"/>
        </w:rPr>
        <w:t xml:space="preserve">gamma_glm</w:t>
      </w:r>
      <w:r>
        <w:t xml:space="preserve">), a</w:t>
      </w:r>
      <w:r>
        <w:t xml:space="preserve"> </w:t>
      </w:r>
      <w:r>
        <w:t xml:space="preserve">ridge regression on the log target (</w:t>
      </w:r>
      <w:r>
        <w:rPr>
          <w:rStyle w:val="VerbatimChar"/>
        </w:rPr>
        <w:t xml:space="preserve">ridge_log</w:t>
      </w:r>
      <w:r>
        <w:t xml:space="preserve">) and a gradient-boosted tree fitted</w:t>
      </w:r>
      <w:r>
        <w:t xml:space="preserve"> </w:t>
      </w:r>
      <w:r>
        <w:t xml:space="preserve">directly to QLIKE (</w:t>
      </w:r>
      <w:r>
        <w:rPr>
          <w:rStyle w:val="VerbatimChar"/>
        </w:rPr>
        <w:t xml:space="preserve">lightgbm_qlike</w:t>
      </w:r>
      <w:r>
        <w:t xml:space="preserve">) — and the producer refuses to write a result artifact</w:t>
      </w:r>
      <w:r>
        <w:t xml:space="preserve"> </w:t>
      </w:r>
      <w:r>
        <w:t xml:space="preserve">omitting one of them. The other ladder families are robustness only, and the log-MSE and</w:t>
      </w:r>
      <w:r>
        <w:t xml:space="preserve"> </w:t>
      </w:r>
      <w:r>
        <w:t xml:space="preserve">QLIKE trees count as one family rather than two pieces of evidence; HAR and HARQ are</w:t>
      </w:r>
      <w:r>
        <w:t xml:space="preserve"> </w:t>
      </w:r>
      <w:r>
        <w:t xml:space="preserve">external baselines, not deciding families (§5.4).</w:t>
      </w:r>
    </w:p>
    <w:p>
      <w:pPr>
        <w:pStyle w:val="BodyText"/>
      </w:pPr>
      <w:r>
        <w:t xml:space="preserve">Each nested pair is evaluated on exactly one common row mask — valid target, keys and</w:t>
      </w:r>
      <w:r>
        <w:t xml:space="preserve"> </w:t>
      </w:r>
      <w:r>
        <w:t xml:space="preserve">availability — recorded by SHA-256 with the contrast, so a base model is never scored on</w:t>
      </w:r>
      <w:r>
        <w:t xml:space="preserve"> </w:t>
      </w:r>
      <w:r>
        <w:t xml:space="preserve">rows the expanded model dropped and an apparent improvement can never be an easier sample.</w:t>
      </w:r>
      <w:r>
        <w:t xml:space="preserve"> </w:t>
      </w:r>
      <w:r>
        <w:t xml:space="preserve">Discovery and validation are separated by time rather than at random; the partition and</w:t>
      </w:r>
      <w:r>
        <w:t xml:space="preserve"> </w:t>
      </w:r>
      <w:r>
        <w:t xml:space="preserve">the evaluated-session counts are given in §3.</w:t>
      </w:r>
    </w:p>
    <w:bookmarkEnd w:id="25"/>
    <w:bookmarkStart w:id="26" w:name="X76513c88b3f4daa5a07ec59e2c2d1ff56ef8ea8"/>
    <w:p>
      <w:pPr>
        <w:pStyle w:val="Heading3"/>
      </w:pPr>
      <w:r>
        <w:t xml:space="preserve">4.2 The loss, and why it was frozen</w:t>
      </w:r>
    </w:p>
    <w:p>
      <w:pPr>
        <w:pStyle w:val="FirstParagraph"/>
      </w:pPr>
      <w:r>
        <w:t xml:space="preserve">QLIKE is the primary loss, frozen in the research contract together with the target, the</w:t>
      </w:r>
      <w:r>
        <w:t xml:space="preserve"> </w:t>
      </w:r>
      <w:r>
        <w:t xml:space="preserve">comparison direction and the inference unit before any code moved. It suits a strictly</w:t>
      </w:r>
      <w:r>
        <w:t xml:space="preserve"> </w:t>
      </w:r>
      <w:r>
        <w:t xml:space="preserve">positive conditional-mean variance target; it is robust to noise in the variance proxy,</w:t>
      </w:r>
      <w:r>
        <w:t xml:space="preserve"> </w:t>
      </w:r>
      <w:r>
        <w:t xml:space="preserve">which matters at a horizon where the proxy is itself an estimate (§3); and it penalises</w:t>
      </w:r>
      <w:r>
        <w:t xml:space="preserve"> </w:t>
      </w:r>
      <w:r>
        <w:t xml:space="preserve">calibration error, a property that is substantive here rather than decorative, since</w:t>
      </w:r>
      <w:r>
        <w:t xml:space="preserve"> </w:t>
      </w:r>
      <w:r>
        <w:t xml:space="preserve">features that repair a biased baseline can masquerade as information under it (Patton</w:t>
      </w:r>
      <w:r>
        <w:t xml:space="preserve"> </w:t>
      </w:r>
      <w:r>
        <w:t xml:space="preserve">2011; §5.3). Freezing it matters procedurally as much as statistically: a loss chosen</w:t>
      </w:r>
      <w:r>
        <w:t xml:space="preserve"> </w:t>
      </w:r>
      <w:r>
        <w:t xml:space="preserve">after the deltas exist tests nothing. The nonlinear family was aligned to it, so that what</w:t>
      </w:r>
      <w:r>
        <w:t xml:space="preserve"> </w:t>
      </w:r>
      <w:r>
        <w:t xml:space="preserve">it optimises and what it is judged on coincide.</w:t>
      </w:r>
    </w:p>
    <w:p>
      <w:pPr>
        <w:pStyle w:val="BodyText"/>
      </w:pPr>
      <w:r>
        <w:t xml:space="preserve">The sign convention was fixed in the same document —</w:t>
      </w:r>
      <w:r>
        <w:t xml:space="preserve"> </w:t>
      </w:r>
      <w:r>
        <w:rPr>
          <w:rStyle w:val="VerbatimChar"/>
        </w:rPr>
        <w:t xml:space="preserve">delta_B1 = L(B0) − L(B0+B1)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delta_B2|B1 = L(B0+B1) − L(B0+B1+B2)</w:t>
      </w:r>
      <w:r>
        <w:t xml:space="preserve">, positive favouring the larger set — together with</w:t>
      </w:r>
      <w:r>
        <w:t xml:space="preserve"> </w:t>
      </w:r>
      <w:r>
        <w:t xml:space="preserve">the rule that governs this report: a null or negative delta is reported as measured, and</w:t>
      </w:r>
      <w:r>
        <w:t xml:space="preserve"> </w:t>
      </w:r>
      <w:r>
        <w:t xml:space="preserve">no family, feature, horizon or threshold may be added to move a delta toward the expected</w:t>
      </w:r>
      <w:r>
        <w:t xml:space="preserve"> </w:t>
      </w:r>
      <w:r>
        <w:t xml:space="preserve">sign.</w:t>
      </w:r>
    </w:p>
    <w:bookmarkEnd w:id="26"/>
    <w:bookmarkStart w:id="27" w:name="X6cc6d68366d4592ab37c1d1116ff91da64e0e7e"/>
    <w:p>
      <w:pPr>
        <w:pStyle w:val="Heading3"/>
      </w:pPr>
      <w:r>
        <w:t xml:space="preserve">4.3 Preregistration and one-read gates</w:t>
      </w:r>
    </w:p>
    <w:p>
      <w:pPr>
        <w:pStyle w:val="FirstParagraph"/>
      </w:pPr>
      <w:r>
        <w:t xml:space="preserve">Every campaign froze its question, estimands, universe, session lists, models and stop</w:t>
      </w:r>
      <w:r>
        <w:t xml:space="preserve"> </w:t>
      </w:r>
      <w:r>
        <w:t xml:space="preserve">rules in hash-sealed manifests before any outcome was read. The B1v3 preregistration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docs/b1v3_preregistration.md</w:t>
      </w:r>
      <w:r>
        <w:t xml:space="preserve">, SHA-256</w:t>
      </w:r>
      <w:r>
        <w:t xml:space="preserve"> </w:t>
      </w:r>
      <w:r>
        <w:rPr>
          <w:rStyle w:val="VerbatimChar"/>
        </w:rPr>
        <w:t xml:space="preserve">e538ad00…</w:t>
      </w:r>
      <w:r>
        <w:t xml:space="preserve">) lists its sixty development and</w:t>
      </w:r>
      <w:r>
        <w:t xml:space="preserve"> </w:t>
      </w:r>
      <w:r>
        <w:t xml:space="preserve">thirty confirmation sessions by date, declares the primary contrasts and both model</w:t>
      </w:r>
      <w:r>
        <w:t xml:space="preserve"> </w:t>
      </w:r>
      <w:r>
        <w:t xml:space="preserve">specifications, carries an evaluation flag and a read counter, and retains positive, null</w:t>
      </w:r>
      <w:r>
        <w:t xml:space="preserve"> </w:t>
      </w:r>
      <w:r>
        <w:t xml:space="preserve">and negative signs alike. The successor method freeze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docs/confirmation_protocol_v4_sourcebound.md</w:t>
      </w:r>
      <w:r>
        <w:t xml:space="preserve">) is target-blind by construction: it</w:t>
      </w:r>
      <w:r>
        <w:t xml:space="preserve"> </w:t>
      </w:r>
      <w:r>
        <w:t xml:space="preserve">authorises no model fit, no metric evaluation and no holdout access, and it prohibits</w:t>
      </w:r>
      <w:r>
        <w:t xml:space="preserve"> </w:t>
      </w:r>
      <w:r>
        <w:t xml:space="preserve">selection by sign and the choice of features, assets, models or the primary comparison</w:t>
      </w:r>
      <w:r>
        <w:t xml:space="preserve"> </w:t>
      </w:r>
      <w:r>
        <w:t xml:space="preserve">using the target or the loss. No sealed cohort was read during development, and</w:t>
      </w:r>
      <w:r>
        <w:t xml:space="preserve"> </w:t>
      </w:r>
      <w:r>
        <w:t xml:space="preserve">prospective confirmation may begin only once the feature registry, models, preprocessing,</w:t>
      </w:r>
      <w:r>
        <w:t xml:space="preserve"> </w:t>
      </w:r>
      <w:r>
        <w:t xml:space="preserve">cutoff, universe, inference and detectable effect are frozen and hashed.</w:t>
      </w:r>
    </w:p>
    <w:p>
      <w:pPr>
        <w:pStyle w:val="BodyText"/>
      </w:pPr>
      <w:r>
        <w:t xml:space="preserve">The retained Phase 8 cohort is governed by the exploratory bridge contract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docs/phase8_bridge_protocol_v2.md</w:t>
      </w:r>
      <w:r>
        <w:t xml:space="preserve">). The twenty strictly unobserved sessions form the</w:t>
      </w:r>
      <w:r>
        <w:t xml:space="preserve"> </w:t>
      </w:r>
      <w:r>
        <w:t xml:space="preserve">primary descriptive window and all thirty sessions form a sensitivity; the first ten</w:t>
      </w:r>
      <w:r>
        <w:t xml:space="preserve"> </w:t>
      </w:r>
      <w:r>
        <w:t xml:space="preserve">overlap the already-read C2 dates. The bridge cannot produce a confirmatory claim, and its</w:t>
      </w:r>
      <w:r>
        <w:t xml:space="preserve"> </w:t>
      </w:r>
      <w:r>
        <w:t xml:space="preserve">one-shot execution still requires separate written authorisation. At this report's</w:t>
      </w:r>
      <w:r>
        <w:t xml:space="preserve"> </w:t>
      </w:r>
      <w:r>
        <w:t xml:space="preserve">evidence cutoff no Phase 8 payload had been opened, so no outcome is inferred or inserted.</w:t>
      </w:r>
    </w:p>
    <w:bookmarkEnd w:id="27"/>
    <w:bookmarkStart w:id="28" w:name="X7aee7f27383de7462890a494973a18014812083"/>
    <w:p>
      <w:pPr>
        <w:pStyle w:val="Heading3"/>
      </w:pPr>
      <w:r>
        <w:t xml:space="preserve">4.4 Session-level inference</w:t>
      </w:r>
    </w:p>
    <w:p>
      <w:pPr>
        <w:pStyle w:val="FirstParagraph"/>
      </w:pPr>
      <w:r>
        <w:t xml:space="preserve">The unit of observation is the trading session. Losses are averaged within a session</w:t>
      </w:r>
      <w:r>
        <w:t xml:space="preserve"> </w:t>
      </w:r>
      <w:r>
        <w:t xml:space="preserve">first, and that series is what every estimator sees, so an early-close session carries the</w:t>
      </w:r>
      <w:r>
        <w:t xml:space="preserve"> </w:t>
      </w:r>
      <w:r>
        <w:t xml:space="preserve">same weight as a full one and neither replicating nor reordering origins inside a day can</w:t>
      </w:r>
      <w:r>
        <w:t xml:space="preserve"> </w:t>
      </w:r>
      <w:r>
        <w:t xml:space="preserve">move an estimate. Intervals and p-values come from a circular block bootstrap over whole</w:t>
      </w:r>
      <w:r>
        <w:t xml:space="preserve"> </w:t>
      </w:r>
      <w:r>
        <w:t xml:space="preserve">sessions, with the block length fixed in advance at five sessions, 2,000 repetitions and a</w:t>
      </w:r>
      <w:r>
        <w:t xml:space="preserve"> </w:t>
      </w:r>
      <w:r>
        <w:t xml:space="preserve">fixed seed. Each contrast also reports a Newey–West long-run variance under a Bartlett</w:t>
      </w:r>
      <w:r>
        <w:t xml:space="preserve"> </w:t>
      </w:r>
      <w:r>
        <w:t xml:space="preserve">kernel at the same lag, a wild cluster bootstrap, Clark–West for linear nested pairs, and</w:t>
      </w:r>
      <w:r>
        <w:t xml:space="preserve"> </w:t>
      </w:r>
      <w:r>
        <w:t xml:space="preserve">Hansen's test of superior predictive ability. A bootstrap interval wholly inside one per</w:t>
      </w:r>
      <w:r>
        <w:t xml:space="preserve"> </w:t>
      </w:r>
      <w:r>
        <w:t xml:space="preserve">cent of the base loss is reported only as exploratory compatibility with the margin; the</w:t>
      </w:r>
      <w:r>
        <w:t xml:space="preserve"> </w:t>
      </w:r>
      <w:r>
        <w:t xml:space="preserve">implementation does not perform TOST or establish formal equivalence. Holm's correction is applied within each</w:t>
      </w:r>
      <w:r>
        <w:t xml:space="preserve"> </w:t>
      </w:r>
      <w:r>
        <w:t xml:space="preserve">family and role over its four nested contrasts — ΔB1, ΔB2|B0, ΔB2|B1 and the total — the</w:t>
      </w:r>
      <w:r>
        <w:t xml:space="preserve"> </w:t>
      </w:r>
      <w:r>
        <w:t xml:space="preserve">family the scientific question defines. The earlier programme's global Holm correction is</w:t>
      </w:r>
      <w:r>
        <w:t xml:space="preserve"> </w:t>
      </w:r>
      <w:r>
        <w:t xml:space="preserve">retained as a conservative bound, since no retrospective correction is exact for a</w:t>
      </w:r>
      <w:r>
        <w:t xml:space="preserve"> </w:t>
      </w:r>
      <w:r>
        <w:t xml:space="preserve">data-dependent sequence.</w:t>
      </w:r>
    </w:p>
    <w:p>
      <w:pPr>
        <w:pStyle w:val="BodyText"/>
      </w:pPr>
      <w:r>
        <w:t xml:space="preserve">Interval calibration is measured. Resampling blocks from the centred series and rerunning</w:t>
      </w:r>
      <w:r>
        <w:t xml:space="preserve"> </w:t>
      </w:r>
      <w:r>
        <w:t xml:space="preserve">the production bootstrap gives an empirical coverage of 0.784 against a nominal 0.95 for</w:t>
      </w:r>
      <w:r>
        <w:t xml:space="preserve"> </w:t>
      </w:r>
      <w:r>
        <w:t xml:space="preserve">the one validation interval that excludes zero, and it is reported accordingly: the</w:t>
      </w:r>
      <w:r>
        <w:t xml:space="preserve"> </w:t>
      </w:r>
      <w:r>
        <w:t xml:space="preserve">finding survives in sign, its confidence does not.</w:t>
      </w:r>
    </w:p>
    <w:bookmarkEnd w:id="28"/>
    <w:bookmarkStart w:id="29" w:name="Xe336cab0df9cd0f26dd748a4ae2db52738b6cbb"/>
    <w:p>
      <w:pPr>
        <w:pStyle w:val="Heading3"/>
      </w:pPr>
      <w:r>
        <w:t xml:space="preserve">4.5 Power, declared per contrast</w:t>
      </w:r>
    </w:p>
    <w:p>
      <w:pPr>
        <w:pStyle w:val="FirstParagraph"/>
      </w:pPr>
      <w:r>
        <w:t xml:space="preserve">A minimum detectable effect is computed for every contrast and published beside its</w:t>
      </w:r>
      <w:r>
        <w:t xml:space="preserve"> </w:t>
      </w:r>
      <w:r>
        <w:t xml:space="preserve">estimate:</w:t>
      </w:r>
      <w:r>
        <w:t xml:space="preserve"> </w:t>
      </w:r>
      <w:r>
        <w:rPr>
          <w:rStyle w:val="VerbatimChar"/>
        </w:rPr>
        <w:t xml:space="preserve">(t_{1−α/2,n−1} + t_{power,n−1}) · sqrt(long-run variance / n)</w:t>
      </w:r>
      <w:r>
        <w:t xml:space="preserve">, at α = 0.05</w:t>
      </w:r>
      <w:r>
        <w:t xml:space="preserve"> </w:t>
      </w:r>
      <w:r>
        <w:t xml:space="preserve">two-sided and power 0.80, over the same session series the interval is built on. It is</w:t>
      </w:r>
      <w:r>
        <w:t xml:space="preserve"> </w:t>
      </w:r>
      <w:r>
        <w:t xml:space="preserve">declared per contrast because a null without one is uninterpretable: it does not</w:t>
      </w:r>
      <w:r>
        <w:t xml:space="preserve"> </w:t>
      </w:r>
      <w:r>
        <w:t xml:space="preserve">distinguish an absent increment from a design that could never have seen one. The bounds</w:t>
      </w:r>
      <w:r>
        <w:t xml:space="preserve"> </w:t>
      </w:r>
      <w:r>
        <w:t xml:space="preserve">themselves, and the count of contrasts that fall below their own, are reported beside the</w:t>
      </w:r>
      <w:r>
        <w:t xml:space="preserve"> </w:t>
      </w:r>
      <w:r>
        <w:t xml:space="preserve">estimates in §5.1 rather than announced here.</w:t>
      </w:r>
    </w:p>
    <w:p>
      <w:pPr>
        <w:pStyle w:val="BodyText"/>
      </w:pPr>
      <w:r>
        <w:t xml:space="preserve">Those published MDEs use the historical planning default α = 0.05. They do not share the</w:t>
      </w:r>
      <w:r>
        <w:t xml:space="preserve"> </w:t>
      </w:r>
      <w:r>
        <w:t xml:space="preserve">retrospective sensitivity budget of approximately 0.00417 and therefore understate the</w:t>
      </w:r>
      <w:r>
        <w:t xml:space="preserve"> </w:t>
      </w:r>
      <w:r>
        <w:t xml:space="preserve">session requirement that a new confirmatory design would face. Their defensible use here</w:t>
      </w:r>
      <w:r>
        <w:t xml:space="preserve"> </w:t>
      </w:r>
      <w:r>
        <w:t xml:space="preserve">is qualitative and comparative: validation was underpowered even under the less stringent</w:t>
      </w:r>
      <w:r>
        <w:t xml:space="preserve"> </w:t>
      </w:r>
      <w:r>
        <w:t xml:space="preserve">planning threshold.</w:t>
      </w:r>
    </w:p>
    <w:p>
      <w:pPr>
        <w:pStyle w:val="BodyText"/>
      </w:pPr>
      <w:r>
        <w:t xml:space="preserve">What is fixed here is how they are to be read, and that reading was fixed before the</w:t>
      </w:r>
      <w:r>
        <w:t xml:space="preserve"> </w:t>
      </w:r>
      <w:r>
        <w:t xml:space="preserve">estimates existed. Where a contrast lies below its own detection threshold, its null is a</w:t>
      </w:r>
      <w:r>
        <w:t xml:space="preserve"> </w:t>
      </w:r>
      <w:r>
        <w:t xml:space="preserve">statement about the design and not about the market. The evidence can then show that a</w:t>
      </w:r>
      <w:r>
        <w:t xml:space="preserve"> </w:t>
      </w:r>
      <w:r>
        <w:t xml:space="preserve">discovery-sample effect is not reproduced out of sample, and show with numbers that</w:t>
      </w:r>
      <w:r>
        <w:t xml:space="preserve"> </w:t>
      </w:r>
      <w:r>
        <w:t xml:space="preserve">validation would not have seen that effect had it persisted; it cannot adjudicate whether</w:t>
      </w:r>
      <w:r>
        <w:t xml:space="preserve"> </w:t>
      </w:r>
      <w:r>
        <w:t xml:space="preserve">option state or flow carries information of that size, nor separate a change in the market</w:t>
      </w:r>
      <w:r>
        <w:t xml:space="preserve"> </w:t>
      </w:r>
      <w:r>
        <w:t xml:space="preserve">from a change in representation. Deciding either requires a fresh prospective cohort sized</w:t>
      </w:r>
      <w:r>
        <w:t xml:space="preserve"> </w:t>
      </w:r>
      <w:r>
        <w:t xml:space="preserve">in advance. The separate Block-12 design estimates at least 180 sessions and approximately</w:t>
      </w:r>
      <w:r>
        <w:t xml:space="preserve"> </w:t>
      </w:r>
      <w:r>
        <w:t xml:space="preserve">537 for its best observed favorable ΔB2|B1 case, with two independent families and one</w:t>
      </w:r>
      <w:r>
        <w:t xml:space="preserve"> </w:t>
      </w:r>
      <w:r>
        <w:t xml:space="preserve">read. That is future-design evidence, not a reason to hold the capstone open.</w:t>
      </w:r>
    </w:p>
    <w:bookmarkEnd w:id="29"/>
    <w:bookmarkEnd w:id="30"/>
    <w:bookmarkStart w:id="35" w:name="Xf008beceec6d1c3a3c616f37281fffb37cae0fa"/>
    <w:p>
      <w:pPr>
        <w:pStyle w:val="Heading2"/>
      </w:pPr>
      <w:r>
        <w:t xml:space="preserve">5. Results</w:t>
      </w:r>
    </w:p>
    <w:p>
      <w:pPr>
        <w:pStyle w:val="FirstParagraph"/>
      </w:pPr>
      <w:r>
        <w:t xml:space="preserve">The order below is binding (decision 53).</w:t>
      </w:r>
    </w:p>
    <w:bookmarkStart w:id="31" w:name="X17e55a6c5d239cbdcb378efa322270bfeb3194f"/>
    <w:p>
      <w:pPr>
        <w:pStyle w:val="Heading3"/>
      </w:pPr>
      <w:r>
        <w:t xml:space="preserve">5.1 Retrospective results</w:t>
      </w:r>
    </w:p>
    <w:p>
      <w:pPr>
        <w:pStyle w:val="FirstParagraph"/>
      </w:pPr>
      <w:r>
        <w:t xml:space="preserve">The current reproducible retrospective evidence is</w:t>
      </w:r>
      <w:r>
        <w:t xml:space="preserve"> </w:t>
      </w:r>
      <w:r>
        <w:rPr>
          <w:rStyle w:val="VerbatimChar"/>
        </w:rPr>
        <w:t xml:space="preserve">rp2-v3-20260827-remediation3</w:t>
      </w:r>
      <w:r>
        <w:t xml:space="preserve"> </w:t>
      </w:r>
      <w:r>
        <w:t xml:space="preserve">(scientific hash</w:t>
      </w:r>
      <w:r>
        <w:t xml:space="preserve"> </w:t>
      </w:r>
      <w:r>
        <w:rPr>
          <w:rStyle w:val="VerbatimChar"/>
        </w:rPr>
        <w:t xml:space="preserve">386610a4908d601c...</w:t>
      </w:r>
      <w:r>
        <w:t xml:space="preserve">, code commit</w:t>
      </w:r>
      <w:r>
        <w:t xml:space="preserve"> </w:t>
      </w:r>
      <w:r>
        <w:rPr>
          <w:rStyle w:val="VerbatimChar"/>
        </w:rPr>
        <w:t xml:space="preserve">e7728ebbaf3f</w:t>
      </w:r>
      <w:r>
        <w:t xml:space="preserve">). It covers the two disjoint calendar roles frozen in §3 — discovery D and</w:t>
      </w:r>
      <w:r>
        <w:t xml:space="preserve"> </w:t>
      </w:r>
      <w:r>
        <w:t xml:space="preserve">validation V — on six outcome assets, with 61,336 and 12,672 common evaluation rows.</w:t>
      </w:r>
      <w:r>
        <w:t xml:space="preserve"> </w:t>
      </w:r>
      <w:r>
        <w:t xml:space="preserve">Three fixed families crossed with two nested contrasts and two roles give twelve</w:t>
      </w:r>
      <w:r>
        <w:t xml:space="preserve"> </w:t>
      </w:r>
      <w:r>
        <w:t xml:space="preserve">comparisons. A positive delta is an improvement in QLIKE: the loss of the smaller</w:t>
      </w:r>
      <w:r>
        <w:t xml:space="preserve"> </w:t>
      </w:r>
      <w:r>
        <w:t xml:space="preserve">information set minus the loss of the larger one. Seven deltas are positive and seven</w:t>
      </w:r>
      <w:r>
        <w:t xml:space="preserve"> </w:t>
      </w:r>
      <w:r>
        <w:t xml:space="preserve">intervals contain zero. These are retrospective exploratory measurements. Applying the</w:t>
      </w:r>
      <w:r>
        <w:t xml:space="preserve"> </w:t>
      </w:r>
      <w:r>
        <w:t xml:space="preserve">0.00417 sequential budget is a conservative post-hoc sensitivity, not preregistered</w:t>
      </w:r>
      <w:r>
        <w:t xml:space="preserve"> </w:t>
      </w:r>
      <w:r>
        <w:t xml:space="preserve">confirmation, and no validation contrast clears it.</w:t>
      </w:r>
    </w:p>
    <w:p>
      <w:pPr>
        <w:pStyle w:val="BodyText"/>
      </w:pPr>
      <w:r>
        <w:t xml:space="preserve">In discovery ΔB1 is +0.00219 for</w:t>
      </w:r>
      <w:r>
        <w:t xml:space="preserve"> </w:t>
      </w:r>
      <w:r>
        <w:rPr>
          <w:rStyle w:val="VerbatimChar"/>
        </w:rPr>
        <w:t xml:space="preserve">gamma_glm</w:t>
      </w:r>
      <w:r>
        <w:t xml:space="preserve"> </w:t>
      </w:r>
      <w:r>
        <w:t xml:space="preserve">(95 percent interval [+0.00098,</w:t>
      </w:r>
      <w:r>
        <w:t xml:space="preserve"> </w:t>
      </w:r>
      <w:r>
        <w:t xml:space="preserve">+0.00342]), +0.00229 for</w:t>
      </w:r>
      <w:r>
        <w:t xml:space="preserve"> </w:t>
      </w:r>
      <w:r>
        <w:rPr>
          <w:rStyle w:val="VerbatimChar"/>
        </w:rPr>
        <w:t xml:space="preserve">ridge_log</w:t>
      </w:r>
      <w:r>
        <w:t xml:space="preserve"> </w:t>
      </w:r>
      <w:r>
        <w:t xml:space="preserve">([+0.00121, +0.00352]) and +0.00253 for</w:t>
      </w:r>
      <w:r>
        <w:t xml:space="preserve"> </w:t>
      </w:r>
      <w:r>
        <w:rPr>
          <w:rStyle w:val="VerbatimChar"/>
        </w:rPr>
        <w:t xml:space="preserve">lightgbm_qlike</w:t>
      </w:r>
      <w:r>
        <w:t xml:space="preserve"> </w:t>
      </w:r>
      <w:r>
        <w:t xml:space="preserve">([+0.00064, +0.00502]). All three intervals exclude zero, but their</w:t>
      </w:r>
      <w:r>
        <w:t xml:space="preserve"> </w:t>
      </w:r>
      <w:r>
        <w:t xml:space="preserve">retrospective origin and adaptive validation use cap them at exploratory evidence. The</w:t>
      </w:r>
      <w:r>
        <w:t xml:space="preserve"> </w:t>
      </w:r>
      <w:r>
        <w:t xml:space="preserve">effects are small relative to their B0 loss levels.</w:t>
      </w:r>
    </w:p>
    <w:p>
      <w:pPr>
        <w:pStyle w:val="BodyText"/>
      </w:pPr>
      <w:r>
        <w:t xml:space="preserve">Validation does not establish replication. ΔB1 is −0.00113 for</w:t>
      </w:r>
      <w:r>
        <w:t xml:space="preserve"> </w:t>
      </w:r>
      <w:r>
        <w:rPr>
          <w:rStyle w:val="VerbatimChar"/>
        </w:rPr>
        <w:t xml:space="preserve">gamma_glm</w:t>
      </w:r>
      <w:r>
        <w:t xml:space="preserve"> </w:t>
      </w:r>
      <w:r>
        <w:t xml:space="preserve">([−0.00411, +0.00198]), −0.00083 for</w:t>
      </w:r>
      <w:r>
        <w:t xml:space="preserve"> </w:t>
      </w:r>
      <w:r>
        <w:rPr>
          <w:rStyle w:val="VerbatimChar"/>
        </w:rPr>
        <w:t xml:space="preserve">ridge_log</w:t>
      </w:r>
      <w:r>
        <w:t xml:space="preserve"> </w:t>
      </w:r>
      <w:r>
        <w:t xml:space="preserve">([−0.00283, +0.00131]) and +0.00211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lightgbm_qlike</w:t>
      </w:r>
      <w:r>
        <w:t xml:space="preserve"> </w:t>
      </w:r>
      <w:r>
        <w:t xml:space="preserve">([−0.00797, +0.01211]); every interval contains zero. The tree-family</w:t>
      </w:r>
      <w:r>
        <w:t xml:space="preserve"> </w:t>
      </w:r>
      <w:r>
        <w:t xml:space="preserve">sign no longer reverses after the Block 8/Block 10 protocol repair, but its interval is too</w:t>
      </w:r>
      <w:r>
        <w:t xml:space="preserve"> </w:t>
      </w:r>
      <w:r>
        <w:t xml:space="preserve">wide to support replication. B0 QLIKE also rises from 0.13860 to 0.17501 for</w:t>
      </w:r>
      <w:r>
        <w:t xml:space="preserve"> </w:t>
      </w:r>
      <w:r>
        <w:rPr>
          <w:rStyle w:val="VerbatimChar"/>
        </w:rPr>
        <w:t xml:space="preserve">gamma_glm</w:t>
      </w:r>
      <w:r>
        <w:t xml:space="preserve"> </w:t>
      </w:r>
      <w:r>
        <w:t xml:space="preserve">and from 0.13550 to 0.19866 for</w:t>
      </w:r>
      <w:r>
        <w:t xml:space="preserve"> </w:t>
      </w:r>
      <w:r>
        <w:rPr>
          <w:rStyle w:val="VerbatimChar"/>
        </w:rPr>
        <w:t xml:space="preserve">lightgbm_qlike</w:t>
      </w:r>
      <w:r>
        <w:t xml:space="preserve">, so the later role is both shorter and</w:t>
      </w:r>
      <w:r>
        <w:t xml:space="preserve"> </w:t>
      </w:r>
      <w:r>
        <w:t xml:space="preserve">harder in level.</w:t>
      </w:r>
    </w:p>
    <w:p>
      <w:pPr>
        <w:pStyle w:val="BodyText"/>
      </w:pPr>
      <w:r>
        <w:t xml:space="preserve">The conditional flow increment is mixed rather than globally null. In discovery</w:t>
      </w:r>
      <w:r>
        <w:t xml:space="preserve"> </w:t>
      </w:r>
      <w:r>
        <w:t xml:space="preserve">ΔB2|B1 is −0.00002 for</w:t>
      </w:r>
      <w:r>
        <w:t xml:space="preserve"> </w:t>
      </w:r>
      <w:r>
        <w:rPr>
          <w:rStyle w:val="VerbatimChar"/>
        </w:rPr>
        <w:t xml:space="preserve">gamma_glm</w:t>
      </w:r>
      <w:r>
        <w:t xml:space="preserve">, +0.00017 for</w:t>
      </w:r>
      <w:r>
        <w:t xml:space="preserve"> </w:t>
      </w:r>
      <w:r>
        <w:rPr>
          <w:rStyle w:val="VerbatimChar"/>
        </w:rPr>
        <w:t xml:space="preserve">ridge_log</w:t>
      </w:r>
      <w:r>
        <w:t xml:space="preserve"> </w:t>
      </w:r>
      <w:r>
        <w:t xml:space="preserve">and +0.00060 for</w:t>
      </w:r>
      <w:r>
        <w:t xml:space="preserve"> </w:t>
      </w:r>
      <w:r>
        <w:rPr>
          <w:rStyle w:val="VerbatimChar"/>
        </w:rPr>
        <w:t xml:space="preserve">lightgbm_qlike</w:t>
      </w:r>
      <w:r>
        <w:t xml:space="preserve">; in validation it is −0.00215, −0.00194 and +0.00336. Three of the six</w:t>
      </w:r>
      <w:r>
        <w:t xml:space="preserve"> </w:t>
      </w:r>
      <w:r>
        <w:t xml:space="preserve">family-role pairs are negative, and only the validation gamma interval excludes zero on</w:t>
      </w:r>
      <w:r>
        <w:t xml:space="preserve"> </w:t>
      </w:r>
      <w:r>
        <w:t xml:space="preserve">the adverse side. The small smooth-family development estimates are compatible with the</w:t>
      </w:r>
      <w:r>
        <w:t xml:space="preserve"> </w:t>
      </w:r>
      <w:r>
        <w:t xml:space="preserve">recorded margin, but the implementation does not establish formal multiplicity-adjusted</w:t>
      </w:r>
      <w:r>
        <w:t xml:space="preserve"> </w:t>
      </w:r>
      <w:r>
        <w:t xml:space="preserve">TOST equivalence. The family- and partition-dependent signs do not support a universal B2</w:t>
      </w:r>
      <w:r>
        <w:t xml:space="preserve"> </w:t>
      </w:r>
      <w:r>
        <w:t xml:space="preserve">contribution.</w:t>
      </w:r>
    </w:p>
    <w:p>
      <w:pPr>
        <w:pStyle w:val="BodyText"/>
      </w:pPr>
      <w:r>
        <w:t xml:space="preserve">The current run also repairs a producer inconsistency that an equal-row-mask gate could not</w:t>
      </w:r>
      <w:r>
        <w:t xml:space="preserve"> </w:t>
      </w:r>
      <w:r>
        <w:t xml:space="preserve">detect: Block 8 and Block 10 previously selected LightGBM rounds under different session</w:t>
      </w:r>
      <w:r>
        <w:t xml:space="preserve"> </w:t>
      </w:r>
      <w:r>
        <w:t xml:space="preserve">rules. Harmonising that path moves LightGBM ΔB1 from +0.00123 to +0.00253 in discovery and</w:t>
      </w:r>
      <w:r>
        <w:t xml:space="preserve"> </w:t>
      </w:r>
      <w:r>
        <w:t xml:space="preserve">from −0.00383 to +0.00211 in validation. The smooth families are unchanged. This movement</w:t>
      </w:r>
      <w:r>
        <w:t xml:space="preserve"> </w:t>
      </w:r>
      <w:r>
        <w:t xml:space="preserve">is why the 2026-08-24 run is retained only in</w:t>
      </w:r>
      <w:r>
        <w:t xml:space="preserve"> </w:t>
      </w:r>
      <w:r>
        <w:rPr>
          <w:rStyle w:val="VerbatimChar"/>
        </w:rPr>
        <w:t xml:space="preserve">SUPERSEDED_RESULTS.md</w:t>
      </w:r>
      <w:r>
        <w:t xml:space="preserve"> </w:t>
      </w:r>
      <w:r>
        <w:t xml:space="preserve">and why the corrected</w:t>
      </w:r>
      <w:r>
        <w:t xml:space="preserve"> </w:t>
      </w:r>
      <w:r>
        <w:t xml:space="preserve">run is still described as a historical measurement rather than silently promoted.</w:t>
      </w:r>
    </w:p>
    <w:p>
      <w:pPr>
        <w:pStyle w:val="BodyText"/>
      </w:pPr>
      <w:r>
        <w:t xml:space="preserve">Whether the validation nulls refute the discovery effect is a question about power. The</w:t>
      </w:r>
      <w:r>
        <w:t xml:space="preserve"> </w:t>
      </w:r>
      <w:r>
        <w:t xml:space="preserve">validation MDEs are 0.00411 for</w:t>
      </w:r>
      <w:r>
        <w:t xml:space="preserve"> </w:t>
      </w:r>
      <w:r>
        <w:rPr>
          <w:rStyle w:val="VerbatimChar"/>
        </w:rPr>
        <w:t xml:space="preserve">gamma_glm</w:t>
      </w:r>
      <w:r>
        <w:t xml:space="preserve">, 0.00271 for</w:t>
      </w:r>
      <w:r>
        <w:t xml:space="preserve"> </w:t>
      </w:r>
      <w:r>
        <w:rPr>
          <w:rStyle w:val="VerbatimChar"/>
        </w:rPr>
        <w:t xml:space="preserve">ridge_log</w:t>
      </w:r>
      <w:r>
        <w:t xml:space="preserve"> </w:t>
      </w:r>
      <w:r>
        <w:t xml:space="preserve">and 0.01517 for</w:t>
      </w:r>
      <w:r>
        <w:t xml:space="preserve"> </w:t>
      </w:r>
      <w:r>
        <w:rPr>
          <w:rStyle w:val="VerbatimChar"/>
        </w:rPr>
        <w:t xml:space="preserve">lightgbm_qlike</w:t>
      </w:r>
      <w:r>
        <w:t xml:space="preserve">, against discovery ΔB1 estimates of 0.00219, 0.00229 and 0.00253.</w:t>
      </w:r>
      <w:r>
        <w:t xml:space="preserve"> </w:t>
      </w:r>
      <w:r>
        <w:t xml:space="preserve">Approximate session requirements under the same exploratory α = 0.05 contract are 113,</w:t>
      </w:r>
      <w:r>
        <w:t xml:space="preserve"> </w:t>
      </w:r>
      <w:r>
        <w:t xml:space="preserve">45 and 1,148. They are not requirements computed under the separate 0.00417 future</w:t>
      </w:r>
      <w:r>
        <w:t xml:space="preserve"> </w:t>
      </w:r>
      <w:r>
        <w:t xml:space="preserve">campaign budget. None of the three validation designs was equipped to detect its corresponding</w:t>
      </w:r>
      <w:r>
        <w:t xml:space="preserve"> </w:t>
      </w:r>
      <w:r>
        <w:t xml:space="preserve">discovery effect. These are ex-ante-style planning quantities, not post-hoc observed power.</w:t>
      </w:r>
    </w:p>
    <w:p>
      <w:pPr>
        <w:pStyle w:val="BodyText"/>
      </w:pPr>
      <w:r>
        <w:t xml:space="preserve">Nine of the twelve contrasts sit below their own minimum detectable effect. Where a</w:t>
      </w:r>
      <w:r>
        <w:t xml:space="preserve"> </w:t>
      </w:r>
      <w:r>
        <w:t xml:space="preserve">contrast lies below that threshold, a wide interval is a statement about the design, not</w:t>
      </w:r>
      <w:r>
        <w:t xml:space="preserve"> </w:t>
      </w:r>
      <w:r>
        <w:t xml:space="preserve">proof that the market effect is zero. The retrospective evidence therefore shows that the</w:t>
      </w:r>
      <w:r>
        <w:t xml:space="preserve"> </w:t>
      </w:r>
      <w:r>
        <w:t xml:space="preserve">discovery result is not confirmed in validation and that validation lacked the precision</w:t>
      </w:r>
      <w:r>
        <w:t xml:space="preserve"> </w:t>
      </w:r>
      <w:r>
        <w:t xml:space="preserve">to settle effects of that size. That is absence of evidence, not evidence of absence.</w:t>
      </w:r>
    </w:p>
    <w:bookmarkEnd w:id="31"/>
    <w:bookmarkStart w:id="32" w:name="X925c5b771554b707740b4e1d8936d66bcd73337"/>
    <w:p>
      <w:pPr>
        <w:pStyle w:val="Heading3"/>
      </w:pPr>
      <w:r>
        <w:t xml:space="preserve">5.2 Phase 8 exploratory bridge at the evidence cutoff</w:t>
      </w:r>
    </w:p>
    <w:p>
      <w:pPr>
        <w:pStyle w:val="FirstParagraph"/>
      </w:pPr>
      <w:r>
        <w:t xml:space="preserve">The bridge method is frozen for a twenty-session strictly unobserved primary analysis and</w:t>
      </w:r>
      <w:r>
        <w:t xml:space="preserve"> </w:t>
      </w:r>
      <w:r>
        <w:t xml:space="preserve">a thirty-session sensitivity, but the cohort remains unopened. A separately authorised</w:t>
      </w:r>
      <w:r>
        <w:t xml:space="preserve"> </w:t>
      </w:r>
      <w:r>
        <w:t xml:space="preserve">one-shot evaluation will be published as a dated addendum under the bridge's exploratory,</w:t>
      </w:r>
      <w:r>
        <w:t xml:space="preserve"> </w:t>
      </w:r>
      <w:r>
        <w:t xml:space="preserve">non-confirmatory label. This report therefore contains no Phase 8 estimate, interval,</w:t>
      </w:r>
      <w:r>
        <w:t xml:space="preserve"> </w:t>
      </w:r>
      <w:r>
        <w:t xml:space="preserve">p-value or verdict, and records</w:t>
      </w:r>
      <w:r>
        <w:t xml:space="preserve"> </w:t>
      </w:r>
      <w:r>
        <w:rPr>
          <w:rStyle w:val="VerbatimChar"/>
        </w:rPr>
        <w:t xml:space="preserve">sealed_cohorts_read=0</w:t>
      </w:r>
      <w:r>
        <w:t xml:space="preserve"> </w:t>
      </w:r>
      <w:r>
        <w:t xml:space="preserve">instead of filling the gap with an</w:t>
      </w:r>
      <w:r>
        <w:t xml:space="preserve"> </w:t>
      </w:r>
      <w:r>
        <w:t xml:space="preserve">assumption.</w:t>
      </w:r>
    </w:p>
    <w:bookmarkEnd w:id="32"/>
    <w:bookmarkStart w:id="33" w:name="X94ddadd8e29c92230f63b9715b7a46211d61586"/>
    <w:p>
      <w:pPr>
        <w:pStyle w:val="Heading3"/>
      </w:pPr>
      <w:r>
        <w:t xml:space="preserve">5.3 Calibration, and what the loss is rewarding</w:t>
      </w:r>
    </w:p>
    <w:p>
      <w:pPr>
        <w:pStyle w:val="FirstParagraph"/>
      </w:pPr>
      <w:r>
        <w:t xml:space="preserve">QLIKE penalises calibration error, so a feature block that repairs a biased conditional</w:t>
      </w:r>
      <w:r>
        <w:t xml:space="preserve"> </w:t>
      </w:r>
      <w:r>
        <w:t xml:space="preserve">mean is scored as information (§4.2; Patton 2011). The ladder measures that channel rather</w:t>
      </w:r>
      <w:r>
        <w:t xml:space="preserve"> </w:t>
      </w:r>
      <w:r>
        <w:t xml:space="preserve">than assuming it away: every contrast is recomputed on forecasts that have first been</w:t>
      </w:r>
      <w:r>
        <w:t xml:space="preserve"> </w:t>
      </w:r>
      <w:r>
        <w:t xml:space="preserve">Mincer–Zarnowitz recalibrated in logs, with the recalibration fitted strictly outside the</w:t>
      </w:r>
      <w:r>
        <w:t xml:space="preserve"> </w:t>
      </w:r>
      <w:r>
        <w:t xml:space="preserve">sample on which the contrast is then scored.</w:t>
      </w:r>
    </w:p>
    <w:p>
      <w:pPr>
        <w:pStyle w:val="BodyText"/>
      </w:pPr>
      <w:r>
        <w:t xml:space="preserve">Recalibration now moves the option-state increment only modestly, and that shrinkage is</w:t>
      </w:r>
      <w:r>
        <w:t xml:space="preserve"> </w:t>
      </w:r>
      <w:r>
        <w:t xml:space="preserve">itself a finding. An earlier version of this section reported recalibration lifting every</w:t>
      </w:r>
      <w:r>
        <w:t xml:space="preserve"> </w:t>
      </w:r>
      <w:r>
        <w:t xml:space="preserve">cell and turning both smooth families positive in validation, +0.00635 for</w:t>
      </w:r>
      <w:r>
        <w:t xml:space="preserve"> </w:t>
      </w:r>
      <w:r>
        <w:rPr>
          <w:rStyle w:val="VerbatimChar"/>
        </w:rPr>
        <w:t xml:space="preserve">gamma_glm</w:t>
      </w:r>
      <w:r>
        <w:t xml:space="preserve"> </w:t>
      </w:r>
      <w:r>
        <w:t xml:space="preserve">and</w:t>
      </w:r>
      <w:r>
        <w:t xml:space="preserve"> </w:t>
      </w:r>
      <w:r>
        <w:t xml:space="preserve">+0.00315 for</w:t>
      </w:r>
      <w:r>
        <w:t xml:space="preserve"> </w:t>
      </w:r>
      <w:r>
        <w:rPr>
          <w:rStyle w:val="VerbatimChar"/>
        </w:rPr>
        <w:t xml:space="preserve">ridge_log</w:t>
      </w:r>
      <w:r>
        <w:t xml:space="preserve">; most of that lift was a defect, not a channel — the</w:t>
      </w:r>
      <w:r>
        <w:t xml:space="preserve"> </w:t>
      </w:r>
      <w:r>
        <w:t xml:space="preserve">recalibration was undoing the smearing correction it was applied on top of, one of the six</w:t>
      </w:r>
      <w:r>
        <w:t xml:space="preserve"> </w:t>
      </w:r>
      <w:r>
        <w:t xml:space="preserve">repairs of decision 92. Remeasured, discovery ΔB1 moves from +0.00219 to +0.00237 for</w:t>
      </w:r>
      <w:r>
        <w:t xml:space="preserve"> </w:t>
      </w:r>
      <w:r>
        <w:rPr>
          <w:rStyle w:val="VerbatimChar"/>
        </w:rPr>
        <w:t xml:space="preserve">gamma_glm</w:t>
      </w:r>
      <w:r>
        <w:t xml:space="preserve">, stays at +0.00229 for</w:t>
      </w:r>
      <w:r>
        <w:t xml:space="preserve"> </w:t>
      </w:r>
      <w:r>
        <w:rPr>
          <w:rStyle w:val="VerbatimChar"/>
        </w:rPr>
        <w:t xml:space="preserve">ridge_log</w:t>
      </w:r>
      <w:r>
        <w:t xml:space="preserve"> </w:t>
      </w:r>
      <w:r>
        <w:t xml:space="preserve">and moves from +0.00253 to +0.00264 for</w:t>
      </w:r>
      <w:r>
        <w:t xml:space="preserve"> </w:t>
      </w:r>
      <w:r>
        <w:rPr>
          <w:rStyle w:val="VerbatimChar"/>
        </w:rPr>
        <w:t xml:space="preserve">lightgbm_qlike</w:t>
      </w:r>
      <w:r>
        <w:t xml:space="preserve">; validation reads −0.00057, −0.00082 and +0.00196, none significant</w:t>
      </w:r>
      <w:r>
        <w:t xml:space="preserve"> </w:t>
      </w:r>
      <w:r>
        <w:t xml:space="preserve">(</w:t>
      </w:r>
      <w:r>
        <w:rPr>
          <w:rStyle w:val="VerbatimChar"/>
        </w:rPr>
        <w:t xml:space="preserve">rp2_block8_ladder/ladder.json</w:t>
      </w:r>
      <w:r>
        <w:t xml:space="preserve">). These figures are diagnostics and not the study's</w:t>
      </w:r>
      <w:r>
        <w:t xml:space="preserve"> </w:t>
      </w:r>
      <w:r>
        <w:t xml:space="preserve">result: the recalibration is estimated from data outside the evaluation, and the</w:t>
      </w:r>
      <w:r>
        <w:t xml:space="preserve"> </w:t>
      </w:r>
      <w:r>
        <w:t xml:space="preserve">primary raw contrast remains the one reported in §5.1, on which the report's claims</w:t>
      </w:r>
      <w:r>
        <w:t xml:space="preserve"> </w:t>
      </w:r>
      <w:r>
        <w:t xml:space="preserve">rest. The baselines are not equally well calibrated across the two roles — the fitted</w:t>
      </w:r>
      <w:r>
        <w:t xml:space="preserve"> </w:t>
      </w:r>
      <w:r>
        <w:t xml:space="preserve">slope of the gamma family's B0 forecasts is 1.00 in discovery and 1.03 in validation, and</w:t>
      </w:r>
      <w:r>
        <w:t xml:space="preserve"> </w:t>
      </w:r>
      <w:r>
        <w:t xml:space="preserve">the tree family's is 1.02 against 1.07 — so the raw validation nulls and the recalibrated</w:t>
      </w:r>
      <w:r>
        <w:t xml:space="preserve"> </w:t>
      </w:r>
      <w:r>
        <w:t xml:space="preserve">readings are measuring partly different things, and neither alone settles what the option</w:t>
      </w:r>
      <w:r>
        <w:t xml:space="preserve"> </w:t>
      </w:r>
      <w:r>
        <w:t xml:space="preserve">surface is worth.</w:t>
      </w:r>
    </w:p>
    <w:p>
      <w:pPr>
        <w:pStyle w:val="BodyText"/>
      </w:pPr>
      <w:r>
        <w:t xml:space="preserve">The flow block does not benefit from the same treatment. Recalibrated discovery ΔB2|B1</w:t>
      </w:r>
      <w:r>
        <w:t xml:space="preserve"> </w:t>
      </w:r>
      <w:r>
        <w:t xml:space="preserve">is +0.00001 for</w:t>
      </w:r>
      <w:r>
        <w:t xml:space="preserve"> </w:t>
      </w:r>
      <w:r>
        <w:rPr>
          <w:rStyle w:val="VerbatimChar"/>
        </w:rPr>
        <w:t xml:space="preserve">gamma_glm</w:t>
      </w:r>
      <w:r>
        <w:t xml:space="preserve">, +0.00017 for</w:t>
      </w:r>
      <w:r>
        <w:t xml:space="preserve"> </w:t>
      </w:r>
      <w:r>
        <w:rPr>
          <w:rStyle w:val="VerbatimChar"/>
        </w:rPr>
        <w:t xml:space="preserve">ridge_log</w:t>
      </w:r>
      <w:r>
        <w:t xml:space="preserve"> </w:t>
      </w:r>
      <w:r>
        <w:t xml:space="preserve">and +0.00062 for</w:t>
      </w:r>
      <w:r>
        <w:t xml:space="preserve"> </w:t>
      </w:r>
      <w:r>
        <w:rPr>
          <w:rStyle w:val="VerbatimChar"/>
        </w:rPr>
        <w:t xml:space="preserve">lightgbm_qlike</w:t>
      </w:r>
      <w:r>
        <w:t xml:space="preserve">. Their bootstrap intervals may be compatible with the recorded margins,</w:t>
      </w:r>
      <w:r>
        <w:t xml:space="preserve"> </w:t>
      </w:r>
      <w:r>
        <w:t xml:space="preserve">but the artifact explicitly labels that diagnostic</w:t>
      </w:r>
      <w:r>
        <w:t xml:space="preserve"> </w:t>
      </w:r>
      <w:r>
        <w:rPr>
          <w:rStyle w:val="VerbatimChar"/>
        </w:rPr>
        <w:t xml:space="preserve">EXPLORATORY_BOOTSTRAP_CI_WITHIN_MARGIN_NOT_TOST</w:t>
      </w:r>
      <w:r>
        <w:t xml:space="preserve">. It is therefore not formal equivalence</w:t>
      </w:r>
      <w:r>
        <w:t xml:space="preserve"> </w:t>
      </w:r>
      <w:r>
        <w:t xml:space="preserve">and cannot be promoted through the retrospective sequential-budget sensitivity.</w:t>
      </w:r>
    </w:p>
    <w:p>
      <w:pPr>
        <w:pStyle w:val="BodyText"/>
      </w:pPr>
      <w:r>
        <w:t xml:space="preserve">The general point is the one Patton (2011) supplies. Where families disagree, the report</w:t>
      </w:r>
      <w:r>
        <w:t xml:space="preserve"> </w:t>
      </w:r>
      <w:r>
        <w:t xml:space="preserve">does not pool them or elect the agreeable one; it reports each as measured and treats the</w:t>
      </w:r>
      <w:r>
        <w:t xml:space="preserve"> </w:t>
      </w:r>
      <w:r>
        <w:t xml:space="preserve">disagreement itself as evidence about the loss rather than about the market.</w:t>
      </w:r>
    </w:p>
    <w:bookmarkEnd w:id="33"/>
    <w:bookmarkStart w:id="34" w:name="X94378d4108cadf7fc64c4f396cb9f4cb0d875ef"/>
    <w:p>
      <w:pPr>
        <w:pStyle w:val="Heading3"/>
      </w:pPr>
      <w:r>
        <w:t xml:space="preserve">5.4 Field-standard baselines and the activity block</w:t>
      </w:r>
    </w:p>
    <w:p>
      <w:pPr>
        <w:pStyle w:val="FirstParagraph"/>
      </w:pPr>
      <w:r>
        <w:t xml:space="preserve">The activity block was also tested against the baselines the field would demand, on the</w:t>
      </w:r>
      <w:r>
        <w:t xml:space="preserve"> </w:t>
      </w:r>
      <w:r>
        <w:t xml:space="preserve">separate development ladder of the earlier gate programme — forty-five out-of-fold sessions</w:t>
      </w:r>
      <w:r>
        <w:t xml:space="preserve"> </w:t>
      </w:r>
      <w:r>
        <w:t xml:space="preserve">and 28,787 origin rows, so its loss levels are not comparable with the panel of §5.1. There</w:t>
      </w:r>
      <w:r>
        <w:t xml:space="preserve"> </w:t>
      </w:r>
      <w:r>
        <w:t xml:space="preserve">the HARQ implementation is the strongest baseline of the ladder (pooled out-of-sample QLIKE</w:t>
      </w:r>
      <w:r>
        <w:t xml:space="preserve"> </w:t>
      </w:r>
      <w:r>
        <w:t xml:space="preserve">0.18012 against HAR's 0.18041; both remeasured 2026-08-25 after the Int8</w:t>
      </w:r>
      <w:r>
        <w:t xml:space="preserve"> </w:t>
      </w:r>
      <w:r>
        <w:t xml:space="preserve">seasonality-covariate correction of decision 96, ordering unchanged), and adding the</w:t>
      </w:r>
      <w:r>
        <w:t xml:space="preserve"> </w:t>
      </w:r>
      <w:r>
        <w:t xml:space="preserve">nine activity features to HAR or to HARQ</w:t>
      </w:r>
      <w:r>
        <w:t xml:space="preserve"> </w:t>
      </w:r>
      <w:r>
        <w:t xml:space="preserve">makes forecasts marginally worse (−0.00068 and −0.00070, neither significant)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docs/gate3_har_harq_ladder_v1.md</w:t>
      </w:r>
      <w:r>
        <w:t xml:space="preserve">). This historical diagnostic does not establish a</w:t>
      </w:r>
      <w:r>
        <w:t xml:space="preserve"> </w:t>
      </w:r>
      <w:r>
        <w:t xml:space="preserve">universal absence of flow information; it shows that the registered activity block did not</w:t>
      </w:r>
      <w:r>
        <w:t xml:space="preserve"> </w:t>
      </w:r>
      <w:r>
        <w:t xml:space="preserve">improve those HAR/HARQ specifications on the measured sessions.</w:t>
      </w:r>
    </w:p>
    <w:bookmarkEnd w:id="34"/>
    <w:bookmarkEnd w:id="35"/>
    <w:bookmarkStart w:id="36" w:name="Xe60211b7362d4efd10cab3a88ad8ddec4cb4e70"/>
    <w:p>
      <w:pPr>
        <w:pStyle w:val="Heading2"/>
      </w:pPr>
      <w:r>
        <w:t xml:space="preserve">6. Discussion</w:t>
      </w:r>
    </w:p>
    <w:p>
      <w:pPr>
        <w:pStyle w:val="FirstParagraph"/>
      </w:pPr>
      <w:r>
        <w:t xml:space="preserve">Three statements survive the evidence assembled above. First, discovery ΔB1 is positive</w:t>
      </w:r>
      <w:r>
        <w:t xml:space="preserve"> </w:t>
      </w:r>
      <w:r>
        <w:t xml:space="preserve">with an interval excluding zero in all three fixed families, while ΔB2|B1 is smaller and</w:t>
      </w:r>
      <w:r>
        <w:t xml:space="preserve"> </w:t>
      </w:r>
      <w:r>
        <w:t xml:space="preserve">changes sign across families and roles; neither pattern is a universal information claim.</w:t>
      </w:r>
      <w:r>
        <w:t xml:space="preserve"> </w:t>
      </w:r>
      <w:r>
        <w:t xml:space="preserve">The separate HAR/HARQ diagnostic also finds no improvement from its activity block.</w:t>
      </w:r>
      <w:r>
        <w:t xml:space="preserve"> </w:t>
      </w:r>
      <w:r>
        <w:t xml:space="preserve">Second, the discovery result is not confirmed on the later validation sample, and the</w:t>
      </w:r>
      <w:r>
        <w:t xml:space="preserve"> </w:t>
      </w:r>
      <w:r>
        <w:t xml:space="preserve">design cannot say why: nine of the twelve contrasts sit</w:t>
      </w:r>
      <w:r>
        <w:t xml:space="preserve"> </w:t>
      </w:r>
      <w:r>
        <w:t xml:space="preserve">below their own minimum detectable effect, so the validation nulls are absence of evidence</w:t>
      </w:r>
      <w:r>
        <w:t xml:space="preserve"> </w:t>
      </w:r>
      <w:r>
        <w:t xml:space="preserve">and not evidence of absence. The report can state that it did not see the effect again; it</w:t>
      </w:r>
      <w:r>
        <w:t xml:space="preserve"> </w:t>
      </w:r>
      <w:r>
        <w:t xml:space="preserve">cannot state that the effect is gone, and it declines to. Third, what QLIKE reports depends</w:t>
      </w:r>
      <w:r>
        <w:t xml:space="preserve"> </w:t>
      </w:r>
      <w:r>
        <w:t xml:space="preserve">on how well the family being scored is calibrated, which is why the same increment moves</w:t>
      </w:r>
      <w:r>
        <w:t xml:space="preserve"> </w:t>
      </w:r>
      <w:r>
        <w:t xml:space="preserve">when the forecasts are recalibrated out of evaluation, and why no single family's number is</w:t>
      </w:r>
      <w:r>
        <w:t xml:space="preserve"> </w:t>
      </w:r>
      <w:r>
        <w:t xml:space="preserve">presented as the study's answer.</w:t>
      </w:r>
    </w:p>
    <w:p>
      <w:pPr>
        <w:pStyle w:val="BodyText"/>
      </w:pPr>
      <w:r>
        <w:t xml:space="preserve">The honest reading of the programme is therefore a bounded one, and the bound is the</w:t>
      </w:r>
      <w:r>
        <w:t xml:space="preserve"> </w:t>
      </w:r>
      <w:r>
        <w:t xml:space="preserve">contribution rather than an apology for it. A study that reports a null without the</w:t>
      </w:r>
      <w:r>
        <w:t xml:space="preserve"> </w:t>
      </w:r>
      <w:r>
        <w:t xml:space="preserve">precision of the design that produced it has not measured anything; this one reports both,</w:t>
      </w:r>
      <w:r>
        <w:t xml:space="preserve"> </w:t>
      </w:r>
      <w:r>
        <w:t xml:space="preserve">and states the sessions each family would have needed. That accounting is what turns an</w:t>
      </w:r>
      <w:r>
        <w:t xml:space="preserve"> </w:t>
      </w:r>
      <w:r>
        <w:t xml:space="preserve">unreproduced effect into a specific, answerable question rather than a verdict, and it is</w:t>
      </w:r>
      <w:r>
        <w:t xml:space="preserve"> </w:t>
      </w:r>
      <w:r>
        <w:t xml:space="preserve">also what keeps the negative reading of the flow block honest: the cleanest null in the</w:t>
      </w:r>
      <w:r>
        <w:t xml:space="preserve"> </w:t>
      </w:r>
      <w:r>
        <w:t xml:space="preserve">study is still a null measured at a stated precision, not a demonstration that the flow</w:t>
      </w:r>
      <w:r>
        <w:t xml:space="preserve"> </w:t>
      </w:r>
      <w:r>
        <w:t xml:space="preserve">tape is empty of information.</w:t>
      </w:r>
    </w:p>
    <w:p>
      <w:pPr>
        <w:pStyle w:val="BodyText"/>
      </w:pPr>
      <w:r>
        <w:t xml:space="preserve">The closing campaigns follow from the same logic, but neither is used to hold the report</w:t>
      </w:r>
      <w:r>
        <w:t xml:space="preserve"> </w:t>
      </w:r>
      <w:r>
        <w:t xml:space="preserve">open. Phase 8 remains an unopened exploratory bridge. Phase 9 (decision 58) remains a</w:t>
      </w:r>
      <w:r>
        <w:t xml:space="preserve"> </w:t>
      </w:r>
      <w:r>
        <w:t xml:space="preserve">frozen, collecting, 60-session one-read test of total contribution. Decisions 100–101</w:t>
      </w:r>
      <w:r>
        <w:t xml:space="preserve"> </w:t>
      </w:r>
      <w:r>
        <w:t xml:space="preserve">make it a prospective follow-up rather than an academic submission gate and correct its</w:t>
      </w:r>
      <w:r>
        <w:t xml:space="preserve"> </w:t>
      </w:r>
      <w:r>
        <w:t xml:space="preserve">planning denominator: the 24-session warm-up means that 60 complete sessions produce 36</w:t>
      </w:r>
      <w:r>
        <w:t xml:space="preserve"> </w:t>
      </w:r>
      <w:r>
        <w:t xml:space="preserve">scored sessions. At 80% power, the corrected endpoint MDE spans 0.01105–0.02507 under the</w:t>
      </w:r>
      <w:r>
        <w:t xml:space="preserve"> </w:t>
      </w:r>
      <w:r>
        <w:t xml:space="preserve">binding alpha 0.008333 across the four frozen planning scenarios. Rolling forward the two</w:t>
      </w:r>
      <w:r>
        <w:t xml:space="preserve"> </w:t>
      </w:r>
      <w:r>
        <w:t xml:space="preserve">misses recorded by decision 97 gives 2026-11-13 as the earliest nominal completion if</w:t>
      </w:r>
      <w:r>
        <w:t xml:space="preserve"> </w:t>
      </w:r>
      <w:r>
        <w:t xml:space="preserve">every later session is complete. The best-case three-week horizon contains only 19</w:t>
      </w:r>
      <w:r>
        <w:t xml:space="preserve"> </w:t>
      </w:r>
      <w:r>
        <w:t xml:space="preserve">complete sessions and zero scored sessions, so no valid Phase 9 result can exist by the</w:t>
      </w:r>
      <w:r>
        <w:t xml:space="preserve"> </w:t>
      </w:r>
      <w:r>
        <w:t xml:space="preserve">academic deadline. No Phase 9 outcome is included, and</w:t>
      </w:r>
      <w:r>
        <w:t xml:space="preserve"> </w:t>
      </w:r>
      <w:r>
        <w:rPr>
          <w:rStyle w:val="VerbatimChar"/>
        </w:rPr>
        <w:t xml:space="preserve">sealed_cohorts_read=0</w:t>
      </w:r>
      <w:r>
        <w:t xml:space="preserve">.</w:t>
      </w:r>
    </w:p>
    <w:bookmarkEnd w:id="36"/>
    <w:bookmarkStart w:id="37" w:name="X37c964ddc35c2eea68e5d9ed0daf274553be565"/>
    <w:p>
      <w:pPr>
        <w:pStyle w:val="Heading2"/>
      </w:pPr>
      <w:r>
        <w:t xml:space="preserve">7. Threats to validity</w:t>
      </w:r>
    </w:p>
    <w:p>
      <w:pPr>
        <w:pStyle w:val="FirstParagraph"/>
      </w:pPr>
      <w:r>
        <w:t xml:space="preserve">The governing threat is that validation was not equipped to decide the question it was</w:t>
      </w:r>
      <w:r>
        <w:t xml:space="preserve"> </w:t>
      </w:r>
      <w:r>
        <w:t xml:space="preserve">asked. Inference is at session level, and validation contributes thirty-two evaluated</w:t>
      </w:r>
      <w:r>
        <w:t xml:space="preserve"> </w:t>
      </w:r>
      <w:r>
        <w:t xml:space="preserve">sessions against discovery's one hundred and fifty-six. The minimum detectable effects</w:t>
      </w:r>
      <w:r>
        <w:t xml:space="preserve"> </w:t>
      </w:r>
      <w:r>
        <w:t xml:space="preserve">that follow — 0.00411 for</w:t>
      </w:r>
      <w:r>
        <w:t xml:space="preserve"> </w:t>
      </w:r>
      <w:r>
        <w:rPr>
          <w:rStyle w:val="VerbatimChar"/>
        </w:rPr>
        <w:t xml:space="preserve">gamma_glm</w:t>
      </w:r>
      <w:r>
        <w:t xml:space="preserve">, 0.00271 for</w:t>
      </w:r>
      <w:r>
        <w:t xml:space="preserve"> </w:t>
      </w:r>
      <w:r>
        <w:rPr>
          <w:rStyle w:val="VerbatimChar"/>
        </w:rPr>
        <w:t xml:space="preserve">ridge_log</w:t>
      </w:r>
      <w:r>
        <w:t xml:space="preserve">, 0.01517 for</w:t>
      </w:r>
      <w:r>
        <w:t xml:space="preserve"> </w:t>
      </w:r>
      <w:r>
        <w:rPr>
          <w:rStyle w:val="VerbatimChar"/>
        </w:rPr>
        <w:t xml:space="preserve">lightgbm_qlike</w:t>
      </w:r>
      <w:r>
        <w:t xml:space="preserve"> </w:t>
      </w:r>
      <w:r>
        <w:t xml:space="preserve">— stand against discovery increments of +0.00219, +0.00229 and +0.00253,</w:t>
      </w:r>
      <w:r>
        <w:t xml:space="preserve"> </w:t>
      </w:r>
      <w:r>
        <w:t xml:space="preserve">and nine of the twelve contrasts sit below their own bound (§5.1). Every validation null</w:t>
      </w:r>
      <w:r>
        <w:t xml:space="preserve"> </w:t>
      </w:r>
      <w:r>
        <w:t xml:space="preserve">reported above is therefore absence of evidence: the report cannot claim that the option</w:t>
      </w:r>
      <w:r>
        <w:t xml:space="preserve"> </w:t>
      </w:r>
      <w:r>
        <w:t xml:space="preserve">surface or the point-in-time flow carries nothing, only that a design of this size would</w:t>
      </w:r>
      <w:r>
        <w:t xml:space="preserve"> </w:t>
      </w:r>
      <w:r>
        <w:t xml:space="preserve">not have seen them had they been there.</w:t>
      </w:r>
    </w:p>
    <w:p>
      <w:pPr>
        <w:pStyle w:val="BodyText"/>
      </w:pPr>
      <w:r>
        <w:t xml:space="preserve">The threat is not one-sided. The</w:t>
      </w:r>
      <w:r>
        <w:t xml:space="preserve"> </w:t>
      </w:r>
      <w:r>
        <w:rPr>
          <w:rStyle w:val="VerbatimChar"/>
        </w:rPr>
        <w:t xml:space="preserve">gamma_glm</w:t>
      </w:r>
      <w:r>
        <w:t xml:space="preserve"> </w:t>
      </w:r>
      <w:r>
        <w:t xml:space="preserve">validation ΔB2|B1 of −0.00215 at</w:t>
      </w:r>
      <w:r>
        <w:t xml:space="preserve"> </w:t>
      </w:r>
      <w:r>
        <w:t xml:space="preserve">[−0.00437, −0.00032] excludes zero at 95 percent without clearing the budget, and carries</w:t>
      </w:r>
      <w:r>
        <w:t xml:space="preserve"> </w:t>
      </w:r>
      <w:r>
        <w:t xml:space="preserve">a measured caveat: on the run this one supersedes, its interval's empirical coverage was</w:t>
      </w:r>
      <w:r>
        <w:t xml:space="preserve"> </w:t>
      </w:r>
      <w:r>
        <w:t xml:space="preserve">0.784 against a nominal 0.95, and that measurement has not been repeated on the current</w:t>
      </w:r>
      <w:r>
        <w:t xml:space="preserve"> </w:t>
      </w:r>
      <w:r>
        <w:t xml:space="preserve">run. Its sign survives; its stated confidence does not read as stated.</w:t>
      </w:r>
    </w:p>
    <w:p>
      <w:pPr>
        <w:pStyle w:val="BodyText"/>
      </w:pPr>
      <w:r>
        <w:t xml:space="preserve">Model family is the second threat, exposed by the design rather than removed by it. The</w:t>
      </w:r>
      <w:r>
        <w:t xml:space="preserve"> </w:t>
      </w:r>
      <w:r>
        <w:t xml:space="preserve">three fixed families give discovery ΔB1 of +0.00219, +0.00229 and +0.00253, while</w:t>
      </w:r>
      <w:r>
        <w:t xml:space="preserve"> </w:t>
      </w:r>
      <w:r>
        <w:t xml:space="preserve">validation gives −0.00113, −0.00083 and +0.00211 and their minimum detectable effects</w:t>
      </w:r>
      <w:r>
        <w:t xml:space="preserve"> </w:t>
      </w:r>
      <w:r>
        <w:t xml:space="preserve">differ by a factor of 5.6. The family therefore fixes both the estimate and what the experiment</w:t>
      </w:r>
      <w:r>
        <w:t xml:space="preserve"> </w:t>
      </w:r>
      <w:r>
        <w:t xml:space="preserve">could have detected, and because all three are fitted to the same origins, their</w:t>
      </w:r>
      <w:r>
        <w:t xml:space="preserve"> </w:t>
      </w:r>
      <w:r>
        <w:t xml:space="preserve">agreement is not replication.</w:t>
      </w:r>
    </w:p>
    <w:p>
      <w:pPr>
        <w:pStyle w:val="BodyText"/>
      </w:pPr>
      <w:r>
        <w:t xml:space="preserve">Scope is bounded and permanent. The panel holds 184,632 origins, but they come from six</w:t>
      </w:r>
      <w:r>
        <w:t xml:space="preserve"> </w:t>
      </w:r>
      <w:r>
        <w:t xml:space="preserve">mega-cap US equities on one exchange calendar, so the cross-section carries far less</w:t>
      </w:r>
      <w:r>
        <w:t xml:space="preserve"> </w:t>
      </w:r>
      <w:r>
        <w:t xml:space="preserve">independent information than the row count suggests, and nothing here extends to less</w:t>
      </w:r>
      <w:r>
        <w:t xml:space="preserve"> </w:t>
      </w:r>
      <w:r>
        <w:t xml:space="preserve">liquid underlyings, other option markets, or other session structures. The per-era and</w:t>
      </w:r>
      <w:r>
        <w:t xml:space="preserve"> </w:t>
      </w:r>
      <w:r>
        <w:t xml:space="preserve">leave-one-asset-out jackknives specified for this concern have not been re-estimated on</w:t>
      </w:r>
      <w:r>
        <w:t xml:space="preserve"> </w:t>
      </w:r>
      <w:r>
        <w:t xml:space="preserve">the current panel, so asset concentration is stated rather than bounded. The information</w:t>
      </w:r>
      <w:r>
        <w:t xml:space="preserve"> </w:t>
      </w:r>
      <w:r>
        <w:t xml:space="preserve">sets are representations, not the constructs they</w:t>
      </w:r>
      <w:r>
        <w:t xml:space="preserve"> </w:t>
      </w:r>
      <w:r>
        <w:t xml:space="preserve">name. B1 reaches a core coverage of 0.9934 with no post-cutoff observation, but its</w:t>
      </w:r>
      <w:r>
        <w:t xml:space="preserve"> </w:t>
      </w:r>
      <w:r>
        <w:t xml:space="preserve">quotes have a pooled median age of 550 s and a pooled 95th percentile of 1,725 s against</w:t>
      </w:r>
      <w:r>
        <w:t xml:space="preserve"> </w:t>
      </w:r>
      <w:r>
        <w:t xml:space="preserve">an 1,800 s window, and the implied rate could not be fitted on 43.1 per cent of origins —</w:t>
      </w:r>
      <w:r>
        <w:t xml:space="preserve"> </w:t>
      </w:r>
      <w:r>
        <w:t xml:space="preserve">no row was dropped for it — so a null on B1 is a null on a surface of that age and that</w:t>
      </w:r>
      <w:r>
        <w:t xml:space="preserve"> </w:t>
      </w:r>
      <w:r>
        <w:t xml:space="preserve">fit quality. B2 is one vendor's option-trade tape read through an availability proxy,</w:t>
      </w:r>
      <w:r>
        <w:t xml:space="preserve"> </w:t>
      </w:r>
      <w:r>
        <w:t xml:space="preserve">with an empty flow window on 0.23 per cent of measurements.</w:t>
      </w:r>
    </w:p>
    <w:p>
      <w:pPr>
        <w:pStyle w:val="BodyText"/>
      </w:pPr>
      <w:r>
        <w:t xml:space="preserve">Finally, the chronological separation limits what the validation null can mean. It</w:t>
      </w:r>
      <w:r>
        <w:t xml:space="preserve"> </w:t>
      </w:r>
      <w:r>
        <w:t xml:space="preserve">preserves temporal ordering within each measurement, but adaptive use of V prevents a</w:t>
      </w:r>
      <w:r>
        <w:t xml:space="preserve"> </w:t>
      </w:r>
      <w:r>
        <w:t xml:space="preserve">confirmatory interpretation and a time split cannot distinguish regime change from a</w:t>
      </w:r>
      <w:r>
        <w:t xml:space="preserve"> </w:t>
      </w:r>
      <w:r>
        <w:t xml:space="preserve">smaller training sample or an absent effect. B0 QLIKE rises from 0.13860, 0.13910 and</w:t>
      </w:r>
      <w:r>
        <w:t xml:space="preserve"> </w:t>
      </w:r>
      <w:r>
        <w:t xml:space="preserve">0.13550 in discovery to 0.17501, 0.17851 and 0.19866 in validation. Randomly mixing</w:t>
      </w:r>
      <w:r>
        <w:t xml:space="preserve"> </w:t>
      </w:r>
      <w:r>
        <w:t xml:space="preserve">sessions would conceal that temporal-generalisation problem rather than solve it.</w:t>
      </w:r>
    </w:p>
    <w:bookmarkEnd w:id="37"/>
    <w:bookmarkStart w:id="39" w:name="Xd9cf52679672012faea4471d69d6db5ac4faf4b"/>
    <w:p>
      <w:pPr>
        <w:pStyle w:val="Heading2"/>
      </w:pPr>
      <w:r>
        <w:t xml:space="preserve">8. Conclusion and contribution</w:t>
      </w:r>
    </w:p>
    <w:p>
      <w:pPr>
        <w:pStyle w:val="FirstParagraph"/>
      </w:pPr>
      <w:r>
        <w:t xml:space="preserve">Does source-time options information improve out-of-sample RV30 forecasts? The current</w:t>
      </w:r>
      <w:r>
        <w:t xml:space="preserve"> </w:t>
      </w:r>
      <w:r>
        <w:t xml:space="preserve">evidence does not support one universal answer. Discovery ΔB1 is positive in all three</w:t>
      </w:r>
      <w:r>
        <w:t xml:space="preserve"> </w:t>
      </w:r>
      <w:r>
        <w:t xml:space="preserve">families, but validation is mixed and too imprecise to confirm an effect of that size.</w:t>
      </w:r>
      <w:r>
        <w:t xml:space="preserve"> </w:t>
      </w:r>
      <w:r>
        <w:t xml:space="preserve">ΔB2|B1 is small and changes sign by family and partition; compatibility with an</w:t>
      </w:r>
      <w:r>
        <w:t xml:space="preserve"> </w:t>
      </w:r>
      <w:r>
        <w:t xml:space="preserve">equivalence margin in selected exploratory cells is not a formal TOST result. The D/V</w:t>
      </w:r>
      <w:r>
        <w:t xml:space="preserve"> </w:t>
      </w:r>
      <w:r>
        <w:t xml:space="preserve">measurements are retrospective, validation was used adaptively, and the sequential budget</w:t>
      </w:r>
      <w:r>
        <w:t xml:space="preserve"> </w:t>
      </w:r>
      <w:r>
        <w:t xml:space="preserve">is only a conservative post-hoc sensitivity. They therefore remain exploratory.</w:t>
      </w:r>
    </w:p>
    <w:p>
      <w:pPr>
        <w:pStyle w:val="BodyText"/>
      </w:pPr>
      <w:r>
        <w:t xml:space="preserve">The defensible contribution is the bounded measurement and its infrastructure: nested</w:t>
      </w:r>
      <w:r>
        <w:t xml:space="preserve"> </w:t>
      </w:r>
      <w:r>
        <w:t xml:space="preserve">information sets on identical origins, session-level uncertainty, explicit MDE accounting,</w:t>
      </w:r>
      <w:r>
        <w:t xml:space="preserve"> </w:t>
      </w:r>
      <w:r>
        <w:t xml:space="preserve">a corrected shared LightGBM producer contract, and source-time PIT rules that fail closed</w:t>
      </w:r>
      <w:r>
        <w:t xml:space="preserve"> </w:t>
      </w:r>
      <w:r>
        <w:t xml:space="preserve">instead of claiming client latency they do not observe. The remaining PIT v2.2 blocker is</w:t>
      </w:r>
      <w:r>
        <w:t xml:space="preserve"> </w:t>
      </w:r>
      <w:r>
        <w:t xml:space="preserve">part of the result, not something concealed by a headline. Phase 8 remains unopened and</w:t>
      </w:r>
      <w:r>
        <w:t xml:space="preserve"> </w:t>
      </w:r>
      <w:r>
        <w:t xml:space="preserve">exploratory; Phase 9 continues to 60 as prospective future evidence while the capstone is</w:t>
      </w:r>
      <w:r>
        <w:t xml:space="preserve"> </w:t>
      </w:r>
      <w:r>
        <w:t xml:space="preserve">written and submitted from the evidence available at its editorial cutoff.</w:t>
      </w:r>
    </w:p>
    <w:bookmarkStart w:id="38" w:name="Xebdc92d4acd8b8d67c9f3fe0f9867e95cc7704d"/>
    <w:p>
      <w:pPr>
        <w:pStyle w:val="Heading3"/>
      </w:pPr>
      <w:r>
        <w:t xml:space="preserve">Future work: the sealed RP3 program (preregistered 2026-08-24)</w:t>
      </w:r>
    </w:p>
    <w:p>
      <w:pPr>
        <w:pStyle w:val="FirstParagraph"/>
      </w:pPr>
      <w:r>
        <w:t xml:space="preserve">The one question this report leaves open — whether the tree family's budget-clearing B2</w:t>
      </w:r>
      <w:r>
        <w:t xml:space="preserve"> </w:t>
      </w:r>
      <w:r>
        <w:t xml:space="preserve">increment is information or estimator artefact — has been converted from a wish into a</w:t>
      </w:r>
      <w:r>
        <w:t xml:space="preserve"> </w:t>
      </w:r>
      <w:r>
        <w:t xml:space="preserve">sealed program before any RP3 evaluation.</w:t>
      </w:r>
      <w:r>
        <w:t xml:space="preserve"> </w:t>
      </w:r>
      <w:r>
        <w:rPr>
          <w:rStyle w:val="VerbatimChar"/>
        </w:rPr>
        <w:t xml:space="preserve">docs/rp3/PREREGISTRATION.md</w:t>
      </w:r>
      <w:r>
        <w:t xml:space="preserve"> </w:t>
      </w:r>
      <w:r>
        <w:t xml:space="preserve">(SHA-256</w:t>
      </w:r>
      <w:r>
        <w:t xml:space="preserve"> </w:t>
      </w:r>
      <w:r>
        <w:rPr>
          <w:rStyle w:val="VerbatimChar"/>
        </w:rPr>
        <w:t xml:space="preserve">66906a88b0d8ff76d9bbc6556e0aa64e32de494254d2ebdccc49140fce7f77e7</w:t>
      </w:r>
      <w:r>
        <w:t xml:space="preserve">, computed over the committed file as git stores it, LF line endings) registers a</w:t>
      </w:r>
      <w:r>
        <w:t xml:space="preserve"> </w:t>
      </w:r>
      <w:r>
        <w:t xml:space="preserve">closed list of two hypotheses on an evaluation window that starts where this study's</w:t>
      </w:r>
      <w:r>
        <w:t xml:space="preserve"> </w:t>
      </w:r>
      <w:r>
        <w:t xml:space="preserve">validation role ends (sessions ≥ 2026-07-18, most of which did not exist at seal time):</w:t>
      </w:r>
      <w:r>
        <w:t xml:space="preserve"> </w:t>
      </w:r>
      <w:r>
        <w:t xml:space="preserve">the primary is the prospective replication of the +0.00101 development cell, with B2</w:t>
      </w:r>
      <w:r>
        <w:t xml:space="preserve"> </w:t>
      </w:r>
      <w:r>
        <w:t xml:space="preserve">compressed to a single frozen linear index (theta sealed in</w:t>
      </w:r>
      <w:r>
        <w:t xml:space="preserve"> </w:t>
      </w:r>
      <w:r>
        <w:rPr>
          <w:rStyle w:val="VerbatimChar"/>
        </w:rPr>
        <w:t xml:space="preserve">artifacts/rp3/b2_index_theta.json</w:t>
      </w:r>
      <w:r>
        <w:t xml:space="preserve">, SHA-256</w:t>
      </w:r>
      <w:r>
        <w:t xml:space="preserve"> </w:t>
      </w:r>
      <w:r>
        <w:rPr>
          <w:rStyle w:val="VerbatimChar"/>
        </w:rPr>
        <w:t xml:space="preserve">d3140451976ffb485a68c42ff109fcb8c5a434c810fed24055bf929ce09365b6</w:t>
      </w:r>
      <w:r>
        <w:t xml:space="preserve">), read once at 662</w:t>
      </w:r>
      <w:r>
        <w:t xml:space="preserve"> </w:t>
      </w:r>
      <w:r>
        <w:t xml:space="preserve">evaluable sessions (estimated 2029-01-30) under a winner's-curse-halved sizing recorded in</w:t>
      </w:r>
      <w:r>
        <w:t xml:space="preserve"> </w:t>
      </w:r>
      <w:r>
        <w:rPr>
          <w:rStyle w:val="VerbatimChar"/>
        </w:rPr>
        <w:t xml:space="preserve">artifacts/rp3/sizing.json</w:t>
      </w:r>
      <w:r>
        <w:t xml:space="preserve">; the secondary, gatekept behind the primary, is directional</w:t>
      </w:r>
      <w:r>
        <w:t xml:space="preserve"> </w:t>
      </w:r>
      <w:r>
        <w:t xml:space="preserve">information at 120 minutes. The program's own selection liabilities are declared inside</w:t>
      </w:r>
      <w:r>
        <w:t xml:space="preserve"> </w:t>
      </w:r>
      <w:r>
        <w:t xml:space="preserve">the preregistration rather than around it — including the candidate it killed before</w:t>
      </w:r>
      <w:r>
        <w:t xml:space="preserve"> </w:t>
      </w:r>
      <w:r>
        <w:t xml:space="preserve">sealing: the exploratory sweep favoured a 60-minute target, and the sizing measurement</w:t>
      </w:r>
      <w:r>
        <w:t xml:space="preserve"> </w:t>
      </w:r>
      <w:r>
        <w:t xml:space="preserve">found the frozen index's development effect there to be negative, a dead end recorded</w:t>
      </w:r>
      <w:r>
        <w:t xml:space="preserve"> </w:t>
      </w:r>
      <w:r>
        <w:t xml:space="preserve">permanently beside the road taken. The read's outcome, whatever it is, is committed to</w:t>
      </w:r>
      <w:r>
        <w:t xml:space="preserve"> </w:t>
      </w:r>
      <w:r>
        <w:t xml:space="preserve">publication with the same prominence as a positive.</w:t>
      </w:r>
    </w:p>
    <w:bookmarkEnd w:id="38"/>
    <w:bookmarkEnd w:id="39"/>
    <w:bookmarkStart w:id="40" w:name="X05c252bb324b59d74213582a35bc1b53bba3933"/>
    <w:p>
      <w:pPr>
        <w:pStyle w:val="Heading2"/>
      </w:pPr>
      <w:r>
        <w:t xml:space="preserve">9. Ethics and reproducibility</w:t>
      </w:r>
    </w:p>
    <w:p>
      <w:pPr>
        <w:pStyle w:val="FirstParagraph"/>
      </w:pPr>
      <w:r>
        <w:t xml:space="preserve">No human participants. Licensed raw data and credentials are never redistributed or</w:t>
      </w:r>
      <w:r>
        <w:t xml:space="preserve"> </w:t>
      </w:r>
      <w:r>
        <w:t xml:space="preserve">committed. Reproducibility for unlicensed examiners is provided as controlled</w:t>
      </w:r>
      <w:r>
        <w:t xml:space="preserve"> </w:t>
      </w:r>
      <w:r>
        <w:t xml:space="preserve">auditability: code, schemas, sanitised fixtures, SHA-256 manifests, access ledgers,</w:t>
      </w:r>
      <w:r>
        <w:t xml:space="preserve"> </w:t>
      </w:r>
      <w:r>
        <w:t xml:space="preserve">and aggregate outputs, under a locked Python 3.12 environment and a</w:t>
      </w:r>
      <w:r>
        <w:t xml:space="preserve"> </w:t>
      </w:r>
      <w:r>
        <w:t xml:space="preserve">thousand-test suite. Vendor labels are treated as observed events, never as trader</w:t>
      </w:r>
      <w:r>
        <w:t xml:space="preserve"> </w:t>
      </w:r>
      <w:r>
        <w:t xml:space="preserve">intent; no informed-trading, causal, or profitability claim is made anywhere in the</w:t>
      </w:r>
      <w:r>
        <w:t xml:space="preserve"> </w:t>
      </w:r>
      <w:r>
        <w:t xml:space="preserve">report.</w:t>
      </w:r>
    </w:p>
    <w:bookmarkEnd w:id="40"/>
    <w:bookmarkStart w:id="41" w:name="appendices"/>
    <w:p>
      <w:pPr>
        <w:pStyle w:val="Heading2"/>
      </w:pPr>
      <w:r>
        <w:t xml:space="preserve">Appendices</w:t>
      </w:r>
    </w:p>
    <w:p>
      <w:pPr>
        <w:pStyle w:val="FirstParagraph"/>
      </w:pPr>
      <w:r>
        <w:t xml:space="preserve">A. Campaign register and contrast tables (</w:t>
      </w:r>
      <w:r>
        <w:rPr>
          <w:rStyle w:val="VerbatimChar"/>
        </w:rPr>
        <w:t xml:space="preserve">docs/results_reconciliation_v2.md</w:t>
      </w:r>
      <w:r>
        <w:t xml:space="preserve">).</w:t>
      </w:r>
      <w:r>
        <w:t xml:space="preserve"> </w:t>
      </w:r>
      <w:r>
        <w:t xml:space="preserve">B. Studentized inference tables (</w:t>
      </w:r>
      <w:r>
        <w:rPr>
          <w:rStyle w:val="VerbatimChar"/>
        </w:rPr>
        <w:t xml:space="preserve">artifacts/gate1_inference/</w:t>
      </w:r>
      <w:r>
        <w:t xml:space="preserve">).</w:t>
      </w:r>
      <w:r>
        <w:t xml:space="preserve"> </w:t>
      </w:r>
      <w:r>
        <w:t xml:space="preserve">C. Gate reports 1–12 (</w:t>
      </w:r>
      <w:r>
        <w:rPr>
          <w:rStyle w:val="VerbatimChar"/>
        </w:rPr>
        <w:t xml:space="preserve">docs/INDEX.md</w:t>
      </w:r>
      <w:r>
        <w:t xml:space="preserve">).</w:t>
      </w:r>
      <w:r>
        <w:t xml:space="preserve"> </w:t>
      </w:r>
      <w:r>
        <w:t xml:space="preserve">D. Economic-significance tables (</w:t>
      </w:r>
      <w:r>
        <w:rPr>
          <w:rStyle w:val="VerbatimChar"/>
        </w:rPr>
        <w:t xml:space="preserve">artifacts/economic_significance/</w:t>
      </w:r>
      <w:r>
        <w:t xml:space="preserve">).</w:t>
      </w:r>
      <w:r>
        <w:t xml:space="preserve"> </w:t>
      </w:r>
      <w:r>
        <w:t xml:space="preserve">E. Preregistration, freeze and target-blind planning hashes (Phase 9 freeze</w:t>
      </w:r>
      <w:r>
        <w:t xml:space="preserve"> </w:t>
      </w:r>
      <w:r>
        <w:rPr>
          <w:rStyle w:val="VerbatimChar"/>
        </w:rPr>
        <w:t xml:space="preserve">artifacts/phase9/protocol_freeze.json</w:t>
      </w:r>
      <w:r>
        <w:t xml:space="preserve">; corrected power/deadline audit</w:t>
      </w:r>
      <w:r>
        <w:t xml:space="preserve"> </w:t>
      </w:r>
      <w:r>
        <w:rPr>
          <w:rStyle w:val="VerbatimChar"/>
        </w:rPr>
        <w:t xml:space="preserve">artifacts/phase9/power_deadline_audit_v1.json</w:t>
      </w:r>
      <w:r>
        <w:t xml:space="preserve">).</w:t>
      </w:r>
      <w:r>
        <w:t xml:space="preserve"> </w:t>
      </w:r>
      <w:r>
        <w:t xml:space="preserve">F. Supervisor feedback mapping, restricted to source-verified comments; unverified</w:t>
      </w:r>
      <w:r>
        <w:t xml:space="preserve"> </w:t>
      </w:r>
      <w:r>
        <w:t xml:space="preserve">paraphrases are excluded.</w:t>
      </w:r>
      <w:r>
        <w:t xml:space="preserve"> </w:t>
      </w:r>
      <w:r>
        <w:t xml:space="preserve">G. Primary run artifacts (</w:t>
      </w:r>
      <w:r>
        <w:rPr>
          <w:rStyle w:val="VerbatimChar"/>
        </w:rPr>
        <w:t xml:space="preserve">artifacts/rp2_v3/rp2-v3-20260827-remediation3/</w:t>
      </w:r>
      <w:r>
        <w:t xml:space="preserve">:</w:t>
      </w:r>
      <w:r>
        <w:t xml:space="preserve"> </w:t>
      </w:r>
      <w:r>
        <w:rPr>
          <w:rStyle w:val="VerbatimChar"/>
        </w:rPr>
        <w:t xml:space="preserve">scorecard.md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rp2_block8_ladder/ladder.json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rp2_block10_inference/inference.json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run_identity.json</w:t>
      </w:r>
      <w:r>
        <w:t xml:space="preserve">) and the run verdict (</w:t>
      </w:r>
      <w:r>
        <w:rPr>
          <w:rStyle w:val="VerbatimChar"/>
        </w:rPr>
        <w:t xml:space="preserve">docs/rp2_v3/VERDICT.md</w:t>
      </w:r>
      <w:r>
        <w:t xml:space="preserve">).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2026-08-27T23:50:01Z</dcterms:created>
  <dcterms:modified xsi:type="dcterms:W3CDTF">2026-08-27T23:50:01Z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