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Top-5 Literature Brief</w:t>
      </w:r>
    </w:p>
    <w:p>
      <w:pPr>
        <w:jc w:val="center"/>
      </w:pPr>
      <w:r>
        <w:rPr>
          <w:i/>
          <w:color w:val="666666"/>
        </w:rPr>
        <w:t>MDS650 next supervisor meeting | structured methodological review | 11 August 2026</w:t>
      </w:r>
    </w:p>
    <w:p>
      <w:r>
        <w:rPr>
          <w:b/>
        </w:rPr>
        <w:t xml:space="preserve">Scope. </w:t>
      </w:r>
      <w:r>
        <w:t>This brief evaluates literature relevant to whether conventional point-in-time option information and available point-in-time trading activity improve out-of-sample prediction of the next-30-minute underlying realized variance RV30. It is a structured methodological review, not a PRISMA systematic review. The review does not alter the MDS650 scientific repository, datasets, features, models or experimental results.</w:t>
      </w:r>
    </w:p>
    <w:p>
      <w:r>
        <w:rPr>
          <w:b/>
        </w:rPr>
        <w:t xml:space="preserve">Synthesis. </w:t>
      </w:r>
      <w:r>
        <w:t>The literature separates four evidence streams. First, HAR-type persistence remains the transparent benchmark, while recent comparisons show that nonlinear methods are context-dependent rather than universally dominant. Second, implied-volatility information can add beyond HAR in selected settings, but the available studies mostly use daily index data and do not establish the MDS650 point-in-time vendor contract. Third, option transaction flow contains economically meaningful volatility information in foundational work, yet those studies are not direct RV30 paired OOS evaluations. Fourth, QLIKE, chronological rolling/expanding evaluation and forecast-comparison tests are repeatedly justified for realized-volatility work. The resulting MDS650 design should therefore test B1 before B2, preserve common origins, and treat LightGBM or deep learning as challengers rather than default winners.</w:t>
      </w:r>
    </w:p>
    <w:p>
      <w:pPr>
        <w:pStyle w:val="Heading1"/>
      </w:pPr>
      <w:r>
        <w:t>Top-5 studies</w:t>
      </w:r>
    </w:p>
    <w:p>
      <w:pPr>
        <w:pStyle w:val="Heading2"/>
      </w:pPr>
      <w:r>
        <w:t>1. Coherent Forecasting of Realized Volatility (2026)</w:t>
      </w:r>
    </w:p>
    <w:p>
      <w:r>
        <w:rPr>
          <w:b/>
        </w:rPr>
        <w:t xml:space="preserve">Evidence: </w:t>
      </w:r>
      <w:r>
        <w:t xml:space="preserve">FULL_TEXT_VERIFIED. </w:t>
      </w:r>
      <w:r>
        <w:rPr>
          <w:b/>
        </w:rPr>
        <w:t xml:space="preserve">Why selected: </w:t>
      </w:r>
      <w:r>
        <w:t>Most current close match on 1/5-minute RV, rolling OOS, QLIKE/MSE and forecast-comparison discipline; no options information set.</w:t>
      </w:r>
    </w:p>
    <w:p>
      <w:r>
        <w:rPr>
          <w:b/>
        </w:rPr>
        <w:t xml:space="preserve">Method contribution: </w:t>
      </w:r>
      <w:r>
        <w:t>qlikeHAR; mseHAR; qlikeSHAR; mseSHAR; baseline HAR variants with direct/coherent aggregation; validation Rolling windows of 250–2,000 days; DMW tests; metrics QLIKE; MSE; individual/panel DMW with Newey-West variance.</w:t>
      </w:r>
    </w:p>
    <w:p>
      <w:r>
        <w:rPr>
          <w:b/>
        </w:rPr>
        <w:t xml:space="preserve">MDS650 implication: </w:t>
      </w:r>
      <w:r>
        <w:t>Retain QLIKE as primary and keep MSE/MAE/RMSE descriptive. Limitation: Daily target exercise; no options state/activity; no RV30.</w:t>
      </w:r>
    </w:p>
    <w:p>
      <w:hyperlink r:id="rId9">
        <w:r>
          <w:rPr>
            <w:color w:val="0563C1"/>
            <w:u w:val="single"/>
          </w:rPr>
          <w:t>DOI / publisher record</w:t>
        </w:r>
      </w:hyperlink>
    </w:p>
    <w:p>
      <w:pPr>
        <w:pStyle w:val="Heading2"/>
      </w:pPr>
      <w:r>
        <w:t>2. Options-driven volatility forecasting (2025)</w:t>
      </w:r>
    </w:p>
    <w:p>
      <w:r>
        <w:rPr>
          <w:b/>
        </w:rPr>
        <w:t xml:space="preserve">Evidence: </w:t>
      </w:r>
      <w:r>
        <w:t xml:space="preserve">FULL_TEXT_VERIFIED. </w:t>
      </w:r>
      <w:r>
        <w:rPr>
          <w:b/>
        </w:rPr>
        <w:t xml:space="preserve">Why selected: </w:t>
      </w:r>
      <w:r>
        <w:t>Closest recent paper for ordinary option surface plus option activity features beyond HAR, with QLIKE, DM and MCS.</w:t>
      </w:r>
    </w:p>
    <w:p>
      <w:r>
        <w:rPr>
          <w:b/>
        </w:rPr>
        <w:t xml:space="preserve">Method contribution: </w:t>
      </w:r>
      <w:r>
        <w:t>LASSO; Elastic Net; XGBoost; HAR-augmented variants; Heston/Bates feature variants; baseline HAR; validation Rolling OOS origins; DM and MCS comparisons; metrics QLIKE; RMSE; MSE; R²; classification accuracy; DM; MCS.</w:t>
      </w:r>
    </w:p>
    <w:p>
      <w:r>
        <w:rPr>
          <w:b/>
        </w:rPr>
        <w:t xml:space="preserve">MDS650 implication: </w:t>
      </w:r>
      <w:r>
        <w:t>Use as strongest literature basis for B1 feature family; do not infer PIT from article availability. Limitation: Daily horizons and option-surface construction are not the MDS650 six-component contract.</w:t>
      </w:r>
    </w:p>
    <w:p>
      <w:hyperlink r:id="rId10">
        <w:r>
          <w:rPr>
            <w:color w:val="0563C1"/>
            <w:u w:val="single"/>
          </w:rPr>
          <w:t>DOI / publisher record</w:t>
        </w:r>
      </w:hyperlink>
    </w:p>
    <w:p>
      <w:pPr>
        <w:pStyle w:val="Heading2"/>
      </w:pPr>
      <w:r>
        <w:t>3. Volatility forecasting incorporating intraday positive and negative jumps based on deep learning model (2024)</w:t>
      </w:r>
    </w:p>
    <w:p>
      <w:r>
        <w:rPr>
          <w:b/>
        </w:rPr>
        <w:t xml:space="preserve">Evidence: </w:t>
      </w:r>
      <w:r>
        <w:t xml:space="preserve">FULL_TEXT_VERIFIED. </w:t>
      </w:r>
      <w:r>
        <w:rPr>
          <w:b/>
        </w:rPr>
        <w:t xml:space="preserve">Why selected: </w:t>
      </w:r>
      <w:r>
        <w:t>Five-minute RV and explicit OOS feature/model comparison; useful intraday analogue while the DL winner is not transferred.</w:t>
      </w:r>
    </w:p>
    <w:p>
      <w:r>
        <w:rPr>
          <w:b/>
        </w:rPr>
        <w:t xml:space="preserve">Method contribution: </w:t>
      </w:r>
      <w:r>
        <w:t>LSTM; AdaBoost; Bagging; trees; ExtraTrees; gradient boosting; linear; MLP; RF; SVR; XGBoost; baseline Traditional econometric and ML models without signed-jump features; validation Train/test OOS comparison; robustness specifications; metrics MSE; MAE; MSLE; MAPE; SMAPE; VaR backtest.</w:t>
      </w:r>
    </w:p>
    <w:p>
      <w:r>
        <w:rPr>
          <w:b/>
        </w:rPr>
        <w:t xml:space="preserve">MDS650 implication: </w:t>
      </w:r>
      <w:r>
        <w:t>Keep as robustness context only; no DL primary recommendation. Limitation: No option state/flow; DL result is not evidence for MDS650 model promotion.</w:t>
      </w:r>
    </w:p>
    <w:p>
      <w:hyperlink r:id="rId11">
        <w:r>
          <w:rPr>
            <w:color w:val="0563C1"/>
            <w:u w:val="single"/>
          </w:rPr>
          <w:t>DOI / publisher record</w:t>
        </w:r>
      </w:hyperlink>
    </w:p>
    <w:p>
      <w:pPr>
        <w:pStyle w:val="Heading2"/>
      </w:pPr>
      <w:r>
        <w:t>4. Forecasting realized volatility: The role of implied volatility, leverage effect, overnight returns, and volatility of realized volatility (2021)</w:t>
      </w:r>
    </w:p>
    <w:p>
      <w:r>
        <w:rPr>
          <w:b/>
        </w:rPr>
        <w:t xml:space="preserve">Evidence: </w:t>
      </w:r>
      <w:r>
        <w:t xml:space="preserve">FULL_TEXT_VERIFIED. </w:t>
      </w:r>
      <w:r>
        <w:rPr>
          <w:b/>
        </w:rPr>
        <w:t xml:space="preserve">Why selected: </w:t>
      </w:r>
      <w:r>
        <w:t>Direct IV-augmented HAR evidence across ten indices with rolling QLIKE/MCS; older but exceptionally relevant to B1.</w:t>
      </w:r>
    </w:p>
    <w:p>
      <w:r>
        <w:rPr>
          <w:b/>
        </w:rPr>
        <w:t xml:space="preserve">Method contribution: </w:t>
      </w:r>
      <w:r>
        <w:t>HAR and 15 extensions, including HAR-IV; baseline HAR; validation Rolling window; initial in-sample 2001–2005; evaluation 2006–2019; QLIKE/MCS; metrics QLIKE; Model Confidence Set; economic evaluation.</w:t>
      </w:r>
    </w:p>
    <w:p>
      <w:r>
        <w:rPr>
          <w:b/>
        </w:rPr>
        <w:t xml:space="preserve">MDS650 implication: </w:t>
      </w:r>
      <w:r>
        <w:t>Retain B1 as an independent information set; validate PIT before any predictive interpretation. Limitation: Daily index-level IV, no trade-derived B2, no PIT vendor timestamp and older than the study window.</w:t>
      </w:r>
    </w:p>
    <w:p>
      <w:hyperlink r:id="rId12">
        <w:r>
          <w:rPr>
            <w:color w:val="0563C1"/>
            <w:u w:val="single"/>
          </w:rPr>
          <w:t>DOI / publisher record</w:t>
        </w:r>
      </w:hyperlink>
    </w:p>
    <w:p>
      <w:pPr>
        <w:pStyle w:val="Heading2"/>
      </w:pPr>
      <w:r>
        <w:t>5. Volatility Information Trading in the Option Market (2008)</w:t>
      </w:r>
    </w:p>
    <w:p>
      <w:r>
        <w:rPr>
          <w:b/>
        </w:rPr>
        <w:t xml:space="preserve">Evidence: </w:t>
      </w:r>
      <w:r>
        <w:t xml:space="preserve">FULL_TEXT_VERIFIED. </w:t>
      </w:r>
      <w:r>
        <w:rPr>
          <w:b/>
        </w:rPr>
        <w:t xml:space="preserve">Why selected: </w:t>
      </w:r>
      <w:r>
        <w:t>Strongest retained mechanism evidence for trade-derived net demand predicting future underlying RV; not an RV30 OOS benchmark.</w:t>
      </w:r>
    </w:p>
    <w:p>
      <w:r>
        <w:rPr>
          <w:b/>
        </w:rPr>
        <w:t xml:space="preserve">Method contribution: </w:t>
      </w:r>
      <w:r>
        <w:t>Predictive regressions and option-price impact analysis; baseline Controls including past realized volatility and directional information; validation Predictive-regression evidence; not an RV30 rolling forecast benchmark; metrics Predictive coefficients and price-impact analysis.</w:t>
      </w:r>
    </w:p>
    <w:p>
      <w:r>
        <w:rPr>
          <w:b/>
        </w:rPr>
        <w:t xml:space="preserve">MDS650 implication: </w:t>
      </w:r>
      <w:r>
        <w:t>Use to motivate B2; never treat trade time/publication as proven availability. Limitation: Daily/aggregate historical option transactions; no PIT vendor timestamp contract and no QLIKE RV30 evaluation.</w:t>
      </w:r>
    </w:p>
    <w:p>
      <w:hyperlink r:id="rId13">
        <w:r>
          <w:rPr>
            <w:color w:val="0563C1"/>
            <w:u w:val="single"/>
          </w:rPr>
          <w:t>DOI / publisher record</w:t>
        </w:r>
      </w:hyperlink>
    </w:p>
    <w:p>
      <w:pPr>
        <w:pStyle w:val="Heading1"/>
      </w:pPr>
      <w:r>
        <w:t>Cross-study differences and MDS650 decisions</w:t>
      </w:r>
    </w:p>
    <w:p>
      <w:pPr>
        <w:pStyle w:val="ListBullet"/>
        <w:ind w:left="0"/>
      </w:pPr>
      <w:r>
        <w:t>Information sets: Michael and Kambouroudis support ordinary IV/surface features; Ni supports trade-derived volatility demand. Neither proves point-in-time availability for the MDS650 vendor endpoints.</w:t>
      </w:r>
    </w:p>
    <w:p>
      <w:pPr>
        <w:pStyle w:val="ListBullet"/>
        <w:ind w:left="0"/>
      </w:pPr>
      <w:r>
        <w:t>Targets: the retained studies use daily, weekly, monthly or commodity RV settings. Zhang and Puke are closer on high-frequency measurement, but no retained source exactly matches a 30-minute equity RV target with B0/B1/B2 nesting.</w:t>
      </w:r>
    </w:p>
    <w:p>
      <w:pPr>
        <w:pStyle w:val="ListBullet"/>
        <w:ind w:left="0"/>
      </w:pPr>
      <w:r>
        <w:t>Models: persistence/HAR, Gamma GLM, Ridge and Elastic Net are transparent candidates. LightGBM remains a fixed nonlinear challenger. The review does not support RL or DL as a primary model for this design.</w:t>
      </w:r>
    </w:p>
    <w:p>
      <w:pPr>
        <w:pStyle w:val="ListBullet"/>
        <w:ind w:left="0"/>
      </w:pPr>
      <w:r>
        <w:t>Evaluation: QLIKE is primary; MAE/RMSE are descriptive. Forecasts must use chronological folds, train-only transforms, purge/embargo for overlapping RV30 targets, identical origins across information sets and day-clustered uncertainty.</w:t>
      </w:r>
    </w:p>
    <w:p>
      <w:pPr>
        <w:pStyle w:val="Heading1"/>
      </w:pPr>
      <w:r>
        <w:t>Questions for the supervisor</w:t>
      </w:r>
    </w:p>
    <w:p>
      <w:pPr>
        <w:pStyle w:val="ListBullet"/>
        <w:ind w:left="0"/>
      </w:pPr>
      <w:r>
        <w:t>Approve the single RQ and whether the term RV30 should be called realized variance or realized volatility in the proposal.</w:t>
      </w:r>
    </w:p>
    <w:p>
      <w:pPr>
        <w:pStyle w:val="ListBullet"/>
        <w:ind w:left="0"/>
      </w:pPr>
      <w:r>
        <w:t>Confirm B1a as the mandatory comparator for B2 and B1b/B1c as robustness levels.</w:t>
      </w:r>
    </w:p>
    <w:p>
      <w:pPr>
        <w:pStyle w:val="ListBullet"/>
        <w:ind w:left="0"/>
      </w:pPr>
      <w:r>
        <w:t>Confirm Gamma GLM as confirmatory and LightGBM as fixed challenger, with no RL/DL primary model.</w:t>
      </w:r>
    </w:p>
    <w:p>
      <w:pPr>
        <w:pStyle w:val="ListBullet"/>
        <w:ind w:left="0"/>
      </w:pPr>
      <w:r>
        <w:t>Confirm QLIKE as primary and the common-origin paired estimands.</w:t>
      </w:r>
    </w:p>
    <w:p>
      <w:pPr>
        <w:pStyle w:val="ListBullet"/>
        <w:ind w:left="0"/>
      </w:pPr>
      <w:r>
        <w:t>Decide how the unresolved FMP bar-label and Unusual Whales publication/PIT gates should be handled in the meeting narrative.</w:t>
      </w:r>
    </w:p>
    <w:p>
      <w:pPr>
        <w:pStyle w:val="Heading1"/>
      </w:pPr>
      <w:r>
        <w:t>Evidence boundary</w:t>
      </w:r>
    </w:p>
    <w:p>
      <w:r>
        <w:rPr>
          <w:b/>
        </w:rPr>
        <w:t xml:space="preserve">No claims in this brief establish a positive MDS650 treatment effect. </w:t>
      </w:r>
      <w:r>
        <w:t>The existing project evidence remains the authority for the MDS650 target, B0/B1/B2 definitions and temporal/PIT gates. Full-text claims are bounded to the cited study designs; abstract and metadata records are marked in the workbook and PDF request list.</w:t>
      </w:r>
    </w:p>
    <w:p>
      <w:pPr>
        <w:pStyle w:val="Heading1"/>
      </w:pPr>
      <w:r>
        <w:t>Selected references</w:t>
      </w:r>
    </w:p>
    <w:p>
      <w:pPr>
        <w:pStyle w:val="ListBullet"/>
      </w:pPr>
      <w:r>
        <w:t>Puke, M., &amp; Schweikert, K. (2026). Coherent forecasting of realized volatility. Journal of Forecasting, 45(4), 1714–1729. https://doi.org/10.1002/for.70114</w:t>
      </w:r>
    </w:p>
    <w:p>
      <w:pPr>
        <w:pStyle w:val="ListBullet"/>
      </w:pPr>
      <w:r>
        <w:t>Michael, N., Cucuringu, M., &amp; Howison, S. (2025). Options-driven volatility forecasting. Quantitative Finance, 25(3), 443–470. https://doi.org/10.1080/14697688.2025.2454623</w:t>
      </w:r>
    </w:p>
    <w:p>
      <w:pPr>
        <w:pStyle w:val="ListBullet"/>
      </w:pPr>
      <w:r>
        <w:t>Zhang, Y., Song, Y., Peng, Y., &amp; Wang, H. (2024). Volatility forecasting incorporating intraday positive and negative jumps based on deep learning model. Journal of Forecasting, 43(7), 2749–2765. https://doi.org/10.1002/for.3146</w:t>
      </w:r>
    </w:p>
    <w:p>
      <w:pPr>
        <w:pStyle w:val="ListBullet"/>
      </w:pPr>
      <w:r>
        <w:t>Kambouroudis, D. S., McMillan, D. G., &amp; Tsakou, K. (2021). Forecasting realized volatility: The role of implied volatility, leverage effect, overnight returns, and volatility of realized volatility. Journal of Futures Markets, 41(10), 1618–1639. https://doi.org/10.1002/fut.22241</w:t>
      </w:r>
    </w:p>
    <w:p>
      <w:pPr>
        <w:pStyle w:val="ListBullet"/>
      </w:pPr>
      <w:r>
        <w:t>Ni, S. X., Pan, J., &amp; Poteshman, A. M. (2008). Volatility information trading in the option market. The Journal of Finance, 63(3), 1059–1091. https://doi.org/10.1111/j.1540-6261.2008.01352.x</w:t>
      </w:r>
    </w:p>
    <w:sectPr w:rsidR="00FC693F" w:rsidRPr="0006063C" w:rsidSect="00034616">
      <w:pgSz w:w="12240" w:h="15840"/>
      <w:pgMar w:top="691" w:right="749" w:bottom="691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02/for.70114" TargetMode="External"/><Relationship Id="rId10" Type="http://schemas.openxmlformats.org/officeDocument/2006/relationships/hyperlink" Target="https://doi.org/10.1080/14697688.2025.2454623" TargetMode="External"/><Relationship Id="rId11" Type="http://schemas.openxmlformats.org/officeDocument/2006/relationships/hyperlink" Target="https://doi.org/10.1002/for.3146" TargetMode="External"/><Relationship Id="rId12" Type="http://schemas.openxmlformats.org/officeDocument/2006/relationships/hyperlink" Target="https://doi.org/10.1002/fut.22241" TargetMode="External"/><Relationship Id="rId13" Type="http://schemas.openxmlformats.org/officeDocument/2006/relationships/hyperlink" Target="https://doi.org/10.1111/j.1540-6261.2008.01352.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