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Question and Objectives</w:t>
      </w:r>
    </w:p>
    <w:p>
      <w:pPr>
        <w:jc w:val="center"/>
      </w:pPr>
      <w:r>
        <w:rPr>
          <w:i/>
          <w:color w:val="666666"/>
        </w:rPr>
        <w:t>MDS650 | one-page supervisor discussion sheet</w:t>
      </w:r>
    </w:p>
    <w:p>
      <w:pPr>
        <w:pStyle w:val="Heading1"/>
      </w:pPr>
      <w:r>
        <w:t>Research question</w:t>
      </w:r>
    </w:p>
    <w:p>
      <w:r>
        <w:t>Does adding conventional point-in-time option-market information and available point-in-time trading activity to underlying-market controls improve out-of-sample prediction of the next-30-minute realized variance RV30 for US equities, measured primarily by QLIKE on common eligible forecast origins?</w:t>
      </w:r>
    </w:p>
    <w:p>
      <w:pPr>
        <w:pStyle w:val="Heading1"/>
      </w:pPr>
      <w:r>
        <w:t>Primary objective</w:t>
      </w:r>
    </w:p>
    <w:p>
      <w:r>
        <w:t>Estimate the paired out-of-sample effect of B1a versus B0 and B2 versus B1a under a frozen temporal and point-in-time contract, using QLIKE as the primary metric and MAE/RMSE descriptively.</w:t>
      </w:r>
    </w:p>
    <w:p>
      <w:pPr>
        <w:pStyle w:val="Heading1"/>
      </w:pPr>
      <w:r>
        <w:t>Secondary objectives</w:t>
      </w:r>
    </w:p>
    <w:p>
      <w:pPr>
        <w:pStyle w:val="ListBullet"/>
        <w:ind w:left="0"/>
      </w:pPr>
      <w:r>
        <w:t>Define and validate RV30 and common-origin eligibility without interpolation, silent imputation or unproven provider availability semantics. (Patton, 2011; Zhang et al., 2024; project data dictionary.)</w:t>
      </w:r>
    </w:p>
    <w:p>
      <w:pPr>
        <w:pStyle w:val="ListBullet"/>
        <w:ind w:left="0"/>
      </w:pPr>
      <w:r>
        <w:t>Compare persistence/HAR, Gamma GLM, Ridge, Elastic Net and a fixed Gamma-LightGBM challenger under identical information sets and chronological folds. (Corsi, 2009; Díaz et al., 2024; Li et al., 2024; Kılıç, 2025; Omer et al., 2026.)</w:t>
      </w:r>
    </w:p>
    <w:p>
      <w:pPr>
        <w:pStyle w:val="ListBullet"/>
        <w:ind w:left="0"/>
      </w:pPr>
      <w:r>
        <w:t>Assess whether compact trade-derived activity adds incremental information beyond independently validated ordinary option state while preserving null and negative outcomes. (Michael et al., 2025; Ni et al., 2008; Asencio et al., 2026.)</w:t>
      </w:r>
    </w:p>
    <w:p>
      <w:pPr>
        <w:pStyle w:val="Heading1"/>
      </w:pPr>
      <w:r>
        <w:t>Definitions and design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152"/>
            <w:shd w:fill="17365D"/>
          </w:tcPr>
          <w:p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6408"/>
            <w:shd w:fill="17365D"/>
          </w:tcPr>
          <w:p>
            <w:r>
              <w:rPr>
                <w:b/>
                <w:color w:val="FFFFFF"/>
                <w:sz w:val="15"/>
              </w:rPr>
              <w:t>Operational definition</w:t>
            </w:r>
          </w:p>
        </w:tc>
        <w:tc>
          <w:tcPr>
            <w:tcW w:type="dxa" w:w="3024"/>
            <w:shd w:fill="17365D"/>
          </w:tcPr>
          <w:p>
            <w:r>
              <w:rPr>
                <w:b/>
                <w:color w:val="FFFFFF"/>
                <w:sz w:val="15"/>
              </w:rPr>
              <w:t>Literature/design link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5"/>
              </w:rPr>
              <w:t>RV30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At origin t, one fully observed close plus the next 30 one-minute closes; 30 log returns; RV30 is the sum of squared returns.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5"/>
              </w:rPr>
              <w:t>Project data dictionary; Patton (2011) measurement discipline.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pPr>
              <w:spacing w:after="0"/>
            </w:pPr>
            <w:r>
              <w:rPr>
                <w:sz w:val="15"/>
              </w:rPr>
              <w:t>B0</w:t>
            </w:r>
          </w:p>
        </w:tc>
        <w:tc>
          <w:tcPr>
            <w:tcW w:type="dxa" w:w="6408"/>
            <w:vAlign w:val="top"/>
            <w:shd w:fill="F3F6FA"/>
          </w:tcPr>
          <w:p>
            <w:pPr>
              <w:spacing w:after="0"/>
            </w:pPr>
            <w:r>
              <w:rPr>
                <w:sz w:val="15"/>
              </w:rPr>
              <w:t>Underlying/market controls only.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/>
            </w:pPr>
            <w:r>
              <w:rPr>
                <w:sz w:val="15"/>
              </w:rPr>
              <w:t>Project frozen information-set contract.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5"/>
              </w:rPr>
              <w:t>B1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B0 plus independently verified ordinary point-in-time option state; B1a ATM IV, B1b skew, B1c term structure.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5"/>
              </w:rPr>
              <w:t>Michael (2025); Kambouroudis et al. (2021); PIT gate remains separate.</w:t>
            </w:r>
          </w:p>
        </w:tc>
      </w:tr>
      <w:tr>
        <w:tc>
          <w:tcPr>
            <w:tcW w:type="dxa" w:w="1152"/>
            <w:vAlign w:val="top"/>
            <w:shd w:fill="F3F6FA"/>
          </w:tcPr>
          <w:p>
            <w:pPr>
              <w:spacing w:after="0"/>
            </w:pPr>
            <w:r>
              <w:rPr>
                <w:sz w:val="15"/>
              </w:rPr>
              <w:t>B2</w:t>
            </w:r>
          </w:p>
        </w:tc>
        <w:tc>
          <w:tcPr>
            <w:tcW w:type="dxa" w:w="6408"/>
            <w:vAlign w:val="top"/>
            <w:shd w:fill="F3F6FA"/>
          </w:tcPr>
          <w:p>
            <w:pPr>
              <w:spacing w:after="0"/>
            </w:pPr>
            <w:r>
              <w:rPr>
                <w:sz w:val="15"/>
              </w:rPr>
              <w:t>B1a plus the frozen compact trade-derived activity features with causal normalization.</w:t>
            </w:r>
          </w:p>
        </w:tc>
        <w:tc>
          <w:tcPr>
            <w:tcW w:type="dxa" w:w="3024"/>
            <w:vAlign w:val="top"/>
            <w:shd w:fill="F3F6FA"/>
          </w:tcPr>
          <w:p>
            <w:pPr>
              <w:spacing w:after="0"/>
            </w:pPr>
            <w:r>
              <w:rPr>
                <w:sz w:val="15"/>
              </w:rPr>
              <w:t>Ni et al. (2008); Asencio et al. (2026); B2 is not compared directly to B0 for the primary incremental claim.</w:t>
            </w:r>
          </w:p>
        </w:tc>
      </w:tr>
    </w:tbl>
    <w:p>
      <w:pPr>
        <w:spacing w:after="0"/>
      </w:pPr>
    </w:p>
    <w:p>
      <w:pPr>
        <w:pStyle w:val="Heading1"/>
      </w:pPr>
      <w:r>
        <w:t>Non-negotiable interpretation</w:t>
      </w:r>
    </w:p>
    <w:p>
      <w:r>
        <w:rPr>
          <w:b/>
        </w:rPr>
        <w:t xml:space="preserve">The literature motivates the design; it does not guarantee an edge. </w:t>
      </w:r>
      <w:r>
        <w:t>Daily, commodity, option-surface and flow studies cannot be transferred to RV30 without the registered PIT, leakage, temporal-validation and common-origin gates passing.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