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Point-in-time options information for forecasting next-30-minute realised variance</w:t>
      </w:r>
    </w:p>
    <w:bookmarkStart w:id="30" w:name="Xc46dd8557052bf6ff6a7c49b8b204d44e1b2c34"/>
    <w:p>
      <w:pPr>
        <w:pStyle w:val="Heading1"/>
      </w:pPr>
      <w:r>
        <w:t xml:space="preserve">Assessment 1 proposal — DRAFT v2 (2026-08-18)</w:t>
      </w:r>
    </w:p>
    <w:p>
      <w:pPr>
        <w:pStyle w:val="BlockTex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DRAFT_PENDING_HUMAN_DECISIONS</w:t>
      </w:r>
      <w:r>
        <w:t xml:space="preserve">. Supersedes v1 (2026-08-17) by integrating the</w:t>
      </w:r>
      <w:r>
        <w:t xml:space="preserve"> </w:t>
      </w:r>
      <w:r>
        <w:t xml:space="preserve">2026-08-17 gate-cascade evidence (</w:t>
      </w:r>
      <w:r>
        <w:rPr>
          <w:rStyle w:val="VerbatimChar"/>
        </w:rPr>
        <w:t xml:space="preserve">reports/gate_cascade_report_20260817.md</w:t>
      </w:r>
      <w:r>
        <w:t xml:space="preserve">). Blocking</w:t>
      </w:r>
      <w:r>
        <w:t xml:space="preserve"> </w:t>
      </w:r>
      <w:r>
        <w:t xml:space="preserve">items before any submission freeze: D003 (institutional title page, ethics wording,</w:t>
      </w:r>
      <w:r>
        <w:t xml:space="preserve"> </w:t>
      </w:r>
      <w:r>
        <w:t xml:space="preserve">calendar mapping), D004 (feedback provenance), Corsi (2009) retrieval (Patton (2011) is</w:t>
      </w:r>
      <w:r>
        <w:t xml:space="preserve"> </w:t>
      </w:r>
      <w:r>
        <w:t xml:space="preserve">now retained, LIT-012). Word targets per the master status Section 18 pack (≈990</w:t>
      </w:r>
      <w:r>
        <w:t xml:space="preserve"> </w:t>
      </w:r>
      <w:r>
        <w:t xml:space="preserve">narrative words). Every claim is bounded by decision 53.</w:t>
      </w:r>
    </w:p>
    <w:bookmarkStart w:id="20" w:name="X0e84f973898acb4f96cbcf682b8e874a5e9d612"/>
    <w:p>
      <w:pPr>
        <w:pStyle w:val="Heading2"/>
      </w:pPr>
      <w:r>
        <w:t xml:space="preserve">Title (D003 pending institutional metadata)</w:t>
      </w:r>
    </w:p>
    <w:p>
      <w:pPr>
        <w:pStyle w:val="FirstParagraph"/>
      </w:pPr>
      <w:r>
        <w:t xml:space="preserve">Point-in-time options information for forecasting next-30-minute realised variance.</w:t>
      </w:r>
    </w:p>
    <w:bookmarkEnd w:id="20"/>
    <w:bookmarkStart w:id="21" w:name="abstract-120-words"/>
    <w:p>
      <w:pPr>
        <w:pStyle w:val="Heading2"/>
      </w:pPr>
      <w:r>
        <w:t xml:space="preserve">Abstract (~120 words)</w:t>
      </w:r>
    </w:p>
    <w:p>
      <w:pPr>
        <w:pStyle w:val="FirstParagraph"/>
      </w:pPr>
      <w:r>
        <w:t xml:space="preserve">This project asks whether option-market information improves out-of-sample prediction of</w:t>
      </w:r>
      <w:r>
        <w:t xml:space="preserve"> </w:t>
      </w:r>
      <w:r>
        <w:t xml:space="preserve">the realised variance of large US equities over the next 30 minutes (RV30). At five-minute</w:t>
      </w:r>
      <w:r>
        <w:t xml:space="preserve"> </w:t>
      </w:r>
      <w:r>
        <w:t xml:space="preserve">forecast origins during the regular New York session, three nested information sets are</w:t>
      </w:r>
      <w:r>
        <w:t xml:space="preserve"> </w:t>
      </w:r>
      <w:r>
        <w:t xml:space="preserve">compared on identical origins: underlying and market state (B0); B0 plus conventional</w:t>
      </w:r>
      <w:r>
        <w:t xml:space="preserve"> </w:t>
      </w:r>
      <w:r>
        <w:t xml:space="preserve">option-state variables such as at-the-money implied volatility (B1); and B1 plus</w:t>
      </w:r>
      <w:r>
        <w:t xml:space="preserve"> </w:t>
      </w:r>
      <w:r>
        <w:t xml:space="preserve">point-in-time option-trade activity (B2). Six liquid equities form the outcome universe</w:t>
      </w:r>
      <w:r>
        <w:t xml:space="preserve"> </w:t>
      </w:r>
      <w:r>
        <w:t xml:space="preserve">with SPY and QQQ as market controls. Forecasts from prespecified benchmark and regularised</w:t>
      </w:r>
      <w:r>
        <w:t xml:space="preserve"> </w:t>
      </w:r>
      <w:r>
        <w:t xml:space="preserve">models are evaluated chronologically with the QLIKE loss and studentized day-clustered</w:t>
      </w:r>
      <w:r>
        <w:t xml:space="preserve"> </w:t>
      </w:r>
      <w:r>
        <w:t xml:space="preserve">inference. Commercial data cannot be redistributed, but code, schemas, hashes, fixtures and</w:t>
      </w:r>
      <w:r>
        <w:t xml:space="preserve"> </w:t>
      </w:r>
      <w:r>
        <w:t xml:space="preserve">aggregate outputs provide controlled auditability. A correctly preregistered null is a</w:t>
      </w:r>
      <w:r>
        <w:t xml:space="preserve"> </w:t>
      </w:r>
      <w:r>
        <w:t xml:space="preserve">valid outcome; no profitability or causal claim is made.</w:t>
      </w:r>
    </w:p>
    <w:bookmarkEnd w:id="21"/>
    <w:bookmarkStart w:id="22" w:name="introduction-140-words"/>
    <w:p>
      <w:pPr>
        <w:pStyle w:val="Heading2"/>
      </w:pPr>
      <w:r>
        <w:t xml:space="preserve">Introduction (~140 words)</w:t>
      </w:r>
    </w:p>
    <w:p>
      <w:pPr>
        <w:pStyle w:val="FirstParagraph"/>
      </w:pPr>
      <w:r>
        <w:t xml:space="preserve">Short-horizon realised-variance forecasting is an active research area: recent work spans</w:t>
      </w:r>
      <w:r>
        <w:t xml:space="preserve"> </w:t>
      </w:r>
      <w:r>
        <w:t xml:space="preserve">intraday decompositions and forecast reconciliation (Caporin et al., 2024), coherent</w:t>
      </w:r>
      <w:r>
        <w:t xml:space="preserve"> </w:t>
      </w:r>
      <w:r>
        <w:t xml:space="preserve">loss-aligned HAR evaluation (Puke &amp; Schweikert, 2026), and options-driven volatility</w:t>
      </w:r>
      <w:r>
        <w:t xml:space="preserve"> </w:t>
      </w:r>
      <w:r>
        <w:t xml:space="preserve">forecasting in which option-surface information and machine-learning models improve on</w:t>
      </w:r>
      <w:r>
        <w:t xml:space="preserve"> </w:t>
      </w:r>
      <w:r>
        <w:t xml:space="preserve">econometric baselines (Michael et al., 2025). Within this literature a specific gap</w:t>
      </w:r>
      <w:r>
        <w:t xml:space="preserve"> </w:t>
      </w:r>
      <w:r>
        <w:t xml:space="preserve">remains: whether point-in-time option-trade</w:t>
      </w:r>
      <w:r>
        <w:t xml:space="preserve"> </w:t>
      </w:r>
      <w:r>
        <w:rPr>
          <w:iCs/>
          <w:i/>
        </w:rPr>
        <w:t xml:space="preserve">activity</w:t>
      </w:r>
      <w:r>
        <w:t xml:space="preserve"> </w:t>
      </w:r>
      <w:r>
        <w:t xml:space="preserve">— what was just traded, beyond what</w:t>
      </w:r>
      <w:r>
        <w:t xml:space="preserve"> </w:t>
      </w:r>
      <w:r>
        <w:t xml:space="preserve">option</w:t>
      </w:r>
      <w:r>
        <w:t xml:space="preserve"> </w:t>
      </w:r>
      <w:r>
        <w:rPr>
          <w:iCs/>
          <w:i/>
        </w:rPr>
        <w:t xml:space="preserve">prices</w:t>
      </w:r>
      <w:r>
        <w:t xml:space="preserve"> </w:t>
      </w:r>
      <w:r>
        <w:t xml:space="preserve">already state — adds incremental predictive information at intraday</w:t>
      </w:r>
      <w:r>
        <w:t xml:space="preserve"> </w:t>
      </w:r>
      <w:r>
        <w:t xml:space="preserve">horizons. Existing studies largely target daily or longer horizons, and activity-based</w:t>
      </w:r>
      <w:r>
        <w:t xml:space="preserve"> </w:t>
      </w:r>
      <w:r>
        <w:t xml:space="preserve">predictors are rarely tested under strict operational-availability rules. This project</w:t>
      </w:r>
      <w:r>
        <w:t xml:space="preserve"> </w:t>
      </w:r>
      <w:r>
        <w:t xml:space="preserve">addresses that gap at the 30-minute horizon with commercial point-in-time data from three</w:t>
      </w:r>
      <w:r>
        <w:t xml:space="preserve"> </w:t>
      </w:r>
      <w:r>
        <w:t xml:space="preserve">audited providers, an explicitly nested information-set design, preregistered evaluation</w:t>
      </w:r>
      <w:r>
        <w:t xml:space="preserve"> </w:t>
      </w:r>
      <w:r>
        <w:t xml:space="preserve">gates, and Patton’s (2011) proxy-robustness conditions respected by a registered</w:t>
      </w:r>
      <w:r>
        <w:t xml:space="preserve"> </w:t>
      </w:r>
      <w:r>
        <w:t xml:space="preserve">noise-robust target sensitivity. [Corsi (2009) is being obtained before the literature</w:t>
      </w:r>
      <w:r>
        <w:t xml:space="preserve"> </w:t>
      </w:r>
      <w:r>
        <w:t xml:space="preserve">section freezes.]</w:t>
      </w:r>
    </w:p>
    <w:bookmarkEnd w:id="22"/>
    <w:bookmarkStart w:id="23" w:name="problem-and-objectives-130-words"/>
    <w:p>
      <w:pPr>
        <w:pStyle w:val="Heading2"/>
      </w:pPr>
      <w:r>
        <w:t xml:space="preserve">Problem and objectives (~130 words)</w:t>
      </w:r>
    </w:p>
    <w:p>
      <w:pPr>
        <w:pStyle w:val="FirstParagraph"/>
      </w:pPr>
      <w:r>
        <w:t xml:space="preserve">Primary question: does conventional options information and, additionally, point-in-time</w:t>
      </w:r>
      <w:r>
        <w:t xml:space="preserve"> </w:t>
      </w:r>
      <w:r>
        <w:t xml:space="preserve">options-trade activity improve out-of-sample prediction of the underlying asset’s</w:t>
      </w:r>
      <w:r>
        <w:t xml:space="preserve"> </w:t>
      </w:r>
      <w:r>
        <w:t xml:space="preserve">next-30-minute realised variance relative to nested underlying-market benchmarks? The</w:t>
      </w:r>
      <w:r>
        <w:t xml:space="preserve"> </w:t>
      </w:r>
      <w:r>
        <w:t xml:space="preserve">dependent variable is unannualised RV30: the sum of 30 squared one-minute log returns from</w:t>
      </w:r>
      <w:r>
        <w:t xml:space="preserve"> </w:t>
      </w:r>
      <w:r>
        <w:t xml:space="preserve">31 consecutive closes. The primary estimand is the incremental out-of-sample QLIKE</w:t>
      </w:r>
      <w:r>
        <w:t xml:space="preserve"> </w:t>
      </w:r>
      <w:r>
        <w:t xml:space="preserve">improvement of B2 over B1 on identical origins; secondary objectives are (1) the analogous</w:t>
      </w:r>
      <w:r>
        <w:t xml:space="preserve"> </w:t>
      </w:r>
      <w:r>
        <w:t xml:space="preserve">B1-over-B0 increment, (2) stability of any effect across assets, session periods,</w:t>
      </w:r>
      <w:r>
        <w:t xml:space="preserve"> </w:t>
      </w:r>
      <w:r>
        <w:t xml:space="preserve">volatility regimes and event composition, (3) model-family robustness — a confirmatory</w:t>
      </w:r>
      <w:r>
        <w:t xml:space="preserve"> </w:t>
      </w:r>
      <w:r>
        <w:t xml:space="preserve">regularised Gamma model against a fixed nonlinear challenger, with the family</w:t>
      </w:r>
      <w:r>
        <w:t xml:space="preserve"> </w:t>
      </w:r>
      <w:r>
        <w:rPr>
          <w:iCs/>
          <w:i/>
        </w:rPr>
        <w:t xml:space="preserve">difference</w:t>
      </w:r>
      <w:r>
        <w:t xml:space="preserve"> </w:t>
      </w:r>
      <w:r>
        <w:t xml:space="preserve">itself formally tested — and (4) controlled auditability of a commercial-data pipeline.</w:t>
      </w:r>
      <w:r>
        <w:t xml:space="preserve"> </w:t>
      </w:r>
      <w:r>
        <w:t xml:space="preserve">The interpretation is strictly predictive-informational: no causality, trader intent,</w:t>
      </w:r>
      <w:r>
        <w:t xml:space="preserve"> </w:t>
      </w:r>
      <w:r>
        <w:t xml:space="preserve">direction, or profitability claim is in scope.</w:t>
      </w:r>
    </w:p>
    <w:bookmarkEnd w:id="23"/>
    <w:bookmarkStart w:id="24" w:name="scope-110-words"/>
    <w:p>
      <w:pPr>
        <w:pStyle w:val="Heading2"/>
      </w:pPr>
      <w:r>
        <w:t xml:space="preserve">Scope (~110 words)</w:t>
      </w:r>
    </w:p>
    <w:p>
      <w:pPr>
        <w:pStyle w:val="FirstParagraph"/>
      </w:pPr>
      <w:r>
        <w:t xml:space="preserve">The ten-week core comprises six outcome equities (AAPL, AMZN, META, MSFT, NVDA, TSLA) with</w:t>
      </w:r>
      <w:r>
        <w:t xml:space="preserve"> </w:t>
      </w:r>
      <w:r>
        <w:t xml:space="preserve">SPY/QQQ as controls, not outcomes; three nested information sets on identical five-minute</w:t>
      </w:r>
      <w:r>
        <w:t xml:space="preserve"> </w:t>
      </w:r>
      <w:r>
        <w:t xml:space="preserve">origins; prespecified model roles now anchored by field-standard baselines (intraday</w:t>
      </w:r>
      <w:r>
        <w:t xml:space="preserve"> </w:t>
      </w:r>
      <w:r>
        <w:t xml:space="preserve">HAR-RV and HARQ, implemented and validated on development data; regularised Gamma</w:t>
      </w:r>
      <w:r>
        <w:t xml:space="preserve"> </w:t>
      </w:r>
      <w:r>
        <w:t xml:space="preserve">confirmatory; LightGBM challenger); one chronological evaluation design with a 30-minute</w:t>
      </w:r>
      <w:r>
        <w:t xml:space="preserve"> </w:t>
      </w:r>
      <w:r>
        <w:t xml:space="preserve">purge/embargo; and QLIKE as primary loss. Feasibility is demonstrated: full preregistered</w:t>
      </w:r>
      <w:r>
        <w:t xml:space="preserve"> </w:t>
      </w:r>
      <w:r>
        <w:t xml:space="preserve">development-plus-holdout cycles have been executed, bar-label semantics are cross-provider</w:t>
      </w:r>
      <w:r>
        <w:t xml:space="preserve"> </w:t>
      </w:r>
      <w:r>
        <w:t xml:space="preserve">validated (FMP vs Massive, exact agreement), and a live latency-measurement campaign for</w:t>
      </w:r>
      <w:r>
        <w:t xml:space="preserve"> </w:t>
      </w:r>
      <w:r>
        <w:t xml:space="preserve">the trade-tape availability assumption is running unattended. Out of scope: live trading,</w:t>
      </w:r>
      <w:r>
        <w:t xml:space="preserve"> </w:t>
      </w:r>
      <w:r>
        <w:t xml:space="preserve">profitability backtests, deep or reinforcement learning, and any raw-data redistribution.</w:t>
      </w:r>
    </w:p>
    <w:bookmarkEnd w:id="24"/>
    <w:bookmarkStart w:id="25" w:name="X13cca19dc4c5e0cae6ac08023c8df2446fd3a61"/>
    <w:p>
      <w:pPr>
        <w:pStyle w:val="Heading2"/>
      </w:pPr>
      <w:r>
        <w:t xml:space="preserve">Proposed methodology (~230 words; researcher process)</w:t>
      </w:r>
    </w:p>
    <w:p>
      <w:pPr>
        <w:pStyle w:val="FirstParagraph"/>
      </w:pPr>
      <w:r>
        <w:t xml:space="preserve">The researcher first completes a structured literature review, recording each study’s</w:t>
      </w:r>
      <w:r>
        <w:t xml:space="preserve"> </w:t>
      </w:r>
      <w:r>
        <w:t xml:space="preserve">dataset, horizon, models, validation design and evidential strength. Second, the three</w:t>
      </w:r>
      <w:r>
        <w:t xml:space="preserve"> </w:t>
      </w:r>
      <w:r>
        <w:t xml:space="preserve">commercial providers (FMP for underlying bars and RV30; Massive for historical option</w:t>
      </w:r>
      <w:r>
        <w:t xml:space="preserve"> </w:t>
      </w:r>
      <w:r>
        <w:t xml:space="preserve">quotes; Unusual Whales for the option-trade tape) are audited for entitlement, timestamp</w:t>
      </w:r>
      <w:r>
        <w:t xml:space="preserve"> </w:t>
      </w:r>
      <w:r>
        <w:t xml:space="preserve">semantics, schema stability and licence constraints; operational-availability assumptions</w:t>
      </w:r>
      <w:r>
        <w:t xml:space="preserve"> </w:t>
      </w:r>
      <w:r>
        <w:t xml:space="preserve">are registered explicitly and, where possible,</w:t>
      </w:r>
      <w:r>
        <w:t xml:space="preserve"> </w:t>
      </w:r>
      <w:r>
        <w:rPr>
          <w:iCs/>
          <w:i/>
        </w:rPr>
        <w:t xml:space="preserve">measured</w:t>
      </w:r>
      <w:r>
        <w:t xml:space="preserve">: bar-label semantics via</w:t>
      </w:r>
      <w:r>
        <w:t xml:space="preserve"> </w:t>
      </w:r>
      <w:r>
        <w:t xml:space="preserve">cross-provider reconciliation, and trade-record availability via a live collector that</w:t>
      </w:r>
      <w:r>
        <w:t xml:space="preserve"> </w:t>
      </w:r>
      <w:r>
        <w:t xml:space="preserve">records receipt timestamps intraday and reconciles them against the historical tape seven</w:t>
      </w:r>
      <w:r>
        <w:t xml:space="preserve"> </w:t>
      </w:r>
      <w:r>
        <w:t xml:space="preserve">days later, bounding latency, backfill and revision rates. Third, the research design is</w:t>
      </w:r>
      <w:r>
        <w:t xml:space="preserve"> </w:t>
      </w:r>
      <w:r>
        <w:t xml:space="preserve">frozen before outcomes are read: question, estimands, universe, session lists, losses,</w:t>
      </w:r>
      <w:r>
        <w:t xml:space="preserve"> </w:t>
      </w:r>
      <w:r>
        <w:t xml:space="preserve">models, coverage gates and stop rules are hash-sealed in preregistration manifests, with</w:t>
      </w:r>
      <w:r>
        <w:t xml:space="preserve"> </w:t>
      </w:r>
      <w:r>
        <w:t xml:space="preserve">an equivalence (TOST) bound recorded pre-read so a null is reportable as affirmative</w:t>
      </w:r>
      <w:r>
        <w:t xml:space="preserve"> </w:t>
      </w:r>
      <w:r>
        <w:t xml:space="preserve">evidence of absence. Fourth, the point-in-time panel is constructed without interpolation</w:t>
      </w:r>
      <w:r>
        <w:t xml:space="preserve"> </w:t>
      </w:r>
      <w:r>
        <w:t xml:space="preserve">and with target-blind normalisation. Fifth, prespecified models are fitted with</w:t>
      </w:r>
      <w:r>
        <w:t xml:space="preserve"> </w:t>
      </w:r>
      <w:r>
        <w:t xml:space="preserve">training-only transforms in expanding chronological folds. Sixth, evaluation uses QLIKE on</w:t>
      </w:r>
      <w:r>
        <w:t xml:space="preserve"> </w:t>
      </w:r>
      <w:r>
        <w:t xml:space="preserve">identical origins with studentized inference — cluster t, Newey-West (Diebold-Mariano)</w:t>
      </w:r>
      <w:r>
        <w:t xml:space="preserve"> </w:t>
      </w:r>
      <w:r>
        <w:t xml:space="preserve">statistics, wild cluster bootstrap, moving-block sensitivity, and a Model Confidence Set —</w:t>
      </w:r>
      <w:r>
        <w:t xml:space="preserve"> </w:t>
      </w:r>
      <w:r>
        <w:t xml:space="preserve">plus Holm adjustment within declared families; sealed holdouts are read exactly once under</w:t>
      </w:r>
      <w:r>
        <w:t xml:space="preserve"> </w:t>
      </w:r>
      <w:r>
        <w:t xml:space="preserve">access-ledger control. Seventh, results are interpreted against a binding claims hierarchy</w:t>
      </w:r>
      <w:r>
        <w:t xml:space="preserve"> </w:t>
      </w:r>
      <w:r>
        <w:t xml:space="preserve">separating confirmatory, exploratory and null evidence, with controlled auditability.</w:t>
      </w:r>
    </w:p>
    <w:bookmarkEnd w:id="25"/>
    <w:bookmarkStart w:id="26" w:name="expected-outcomes-130-words"/>
    <w:p>
      <w:pPr>
        <w:pStyle w:val="Heading2"/>
      </w:pPr>
      <w:r>
        <w:t xml:space="preserve">Expected outcomes (~130 words)</w:t>
      </w:r>
    </w:p>
    <w:p>
      <w:pPr>
        <w:pStyle w:val="FirstParagraph"/>
      </w:pPr>
      <w:r>
        <w:t xml:space="preserve">A methodologically valid estimate may be positive, null or negative, and each is a</w:t>
      </w:r>
      <w:r>
        <w:t xml:space="preserve"> </w:t>
      </w:r>
      <w:r>
        <w:t xml:space="preserve">reportable contribution. Prior evidence is stated honestly: the prospective preregistered</w:t>
      </w:r>
      <w:r>
        <w:t xml:space="preserve"> </w:t>
      </w:r>
      <w:r>
        <w:t xml:space="preserve">holdout returned null for both nested contrasts, while retrospective evaluations show a</w:t>
      </w:r>
      <w:r>
        <w:t xml:space="preserve"> </w:t>
      </w:r>
      <w:r>
        <w:t xml:space="preserve">recurring positive B2 increment that is specific to the confirmatory Gamma family,</w:t>
      </w:r>
      <w:r>
        <w:t xml:space="preserve"> </w:t>
      </w:r>
      <w:r>
        <w:t xml:space="preserve">reversed or null under the fixed challenger, absent against HAR/HARQ baselines, outside</w:t>
      </w:r>
      <w:r>
        <w:t xml:space="preserve"> </w:t>
      </w:r>
      <w:r>
        <w:t xml:space="preserve">every Model Confidence Set, and shrinking toward the present at a formally measured rate.</w:t>
      </w:r>
      <w:r>
        <w:t xml:space="preserve"> </w:t>
      </w:r>
      <w:r>
        <w:t xml:space="preserve">Seven independent robustness probes (calibration, event composition, microstructure,</w:t>
      </w:r>
      <w:r>
        <w:t xml:space="preserve"> </w:t>
      </w:r>
      <w:r>
        <w:t xml:space="preserve">selection, feature ablation, earnings conditioning, horizon structure) already</w:t>
      </w:r>
      <w:r>
        <w:t xml:space="preserve"> </w:t>
      </w:r>
      <w:r>
        <w:t xml:space="preserve">characterise this effect. The study therefore expects one of two defensible endpoints: a</w:t>
      </w:r>
      <w:r>
        <w:t xml:space="preserve"> </w:t>
      </w:r>
      <w:r>
        <w:t xml:space="preserve">model-robust prospective confirmation, or an equivalence-bounded null that quantifies how</w:t>
      </w:r>
      <w:r>
        <w:t xml:space="preserve"> </w:t>
      </w:r>
      <w:r>
        <w:t xml:space="preserve">little option-trade activity adds once conventional option state and underlying dynamics</w:t>
      </w:r>
      <w:r>
        <w:t xml:space="preserve"> </w:t>
      </w:r>
      <w:r>
        <w:t xml:space="preserve">are controlled. Deliverables include comparative evidence tables and a reproducible audit</w:t>
      </w:r>
      <w:r>
        <w:t xml:space="preserve"> </w:t>
      </w:r>
      <w:r>
        <w:t xml:space="preserve">pack.</w:t>
      </w:r>
    </w:p>
    <w:bookmarkEnd w:id="26"/>
    <w:bookmarkStart w:id="27" w:name="Xeee924da1ce2109098e510b1385fb2af9d51b46"/>
    <w:p>
      <w:pPr>
        <w:pStyle w:val="Heading2"/>
      </w:pPr>
      <w:r>
        <w:t xml:space="preserve">Timeline (ten weeks; calendar mapping pending D003/A003)</w:t>
      </w:r>
    </w:p>
    <w:p>
      <w:pPr>
        <w:pStyle w:val="FirstParagraph"/>
      </w:pPr>
      <w:r>
        <w:t xml:space="preserve">Week 1 scope/ethics freeze → Week 2 literature closure → Week 3 contract freeze →</w:t>
      </w:r>
      <w:r>
        <w:t xml:space="preserve"> </w:t>
      </w:r>
      <w:r>
        <w:t xml:space="preserve">Week 4 panel/coverage gates → Week 5 benchmark repair decision → Week 6 model freeze →</w:t>
      </w:r>
      <w:r>
        <w:t xml:space="preserve"> </w:t>
      </w:r>
      <w:r>
        <w:t xml:space="preserve">Week 7 one-read chronological evaluation → Week 8 inference and robustness →</w:t>
      </w:r>
      <w:r>
        <w:t xml:space="preserve"> </w:t>
      </w:r>
      <w:r>
        <w:t xml:space="preserve">Week 9 interpretation and audit pack → Week 10 final document and presentation.</w:t>
      </w:r>
      <w:r>
        <w:t xml:space="preserve"> </w:t>
      </w:r>
      <w:r>
        <w:t xml:space="preserve">Weekly evidence is a supervisor-readable artifact or gate, not a commit log.</w:t>
      </w:r>
    </w:p>
    <w:bookmarkEnd w:id="27"/>
    <w:bookmarkStart w:id="28" w:name="resources-and-ethics-130-words-combined"/>
    <w:p>
      <w:pPr>
        <w:pStyle w:val="Heading2"/>
      </w:pPr>
      <w:r>
        <w:t xml:space="preserve">Resources and ethics (~130 words combined)</w:t>
      </w:r>
    </w:p>
    <w:p>
      <w:pPr>
        <w:pStyle w:val="FirstParagraph"/>
      </w:pPr>
      <w:r>
        <w:t xml:space="preserve">Python 3.12 with a locked environment (</w:t>
      </w:r>
      <w:r>
        <w:rPr>
          <w:rStyle w:val="VerbatimChar"/>
        </w:rPr>
        <w:t xml:space="preserve">uv.lock</w:t>
      </w:r>
      <w:r>
        <w:t xml:space="preserve">); licensed API access to FMP, Unusual</w:t>
      </w:r>
      <w:r>
        <w:t xml:space="preserve"> </w:t>
      </w:r>
      <w:r>
        <w:t xml:space="preserve">Whales and Massive; a two-SSD Windows workstation with heavy licensed data outside Git;</w:t>
      </w:r>
      <w:r>
        <w:t xml:space="preserve"> </w:t>
      </w:r>
      <w:r>
        <w:t xml:space="preserve">Git with preregistration manifests, hash gates and a 1,000-test suite. No human</w:t>
      </w:r>
      <w:r>
        <w:t xml:space="preserve"> </w:t>
      </w:r>
      <w:r>
        <w:t xml:space="preserve">participants are involved. Licensed raw data and credentials are never redistributed or</w:t>
      </w:r>
      <w:r>
        <w:t xml:space="preserve"> </w:t>
      </w:r>
      <w:r>
        <w:t xml:space="preserve">committed; reproducibility for unlicensed examiners is provided through code, schemas,</w:t>
      </w:r>
      <w:r>
        <w:t xml:space="preserve"> </w:t>
      </w:r>
      <w:r>
        <w:t xml:space="preserve">sanitised fixtures, hashes, missingness summaries and aggregate outputs. The study makes</w:t>
      </w:r>
      <w:r>
        <w:t xml:space="preserve"> </w:t>
      </w:r>
      <w:r>
        <w:t xml:space="preserve">no informed-trading, causal or profitability claims, and vendor labels are treated as</w:t>
      </w:r>
      <w:r>
        <w:t xml:space="preserve"> </w:t>
      </w:r>
      <w:r>
        <w:t xml:space="preserve">observed events, never as trader intent. [Ethics wording and institutional template:</w:t>
      </w:r>
      <w:r>
        <w:t xml:space="preserve"> </w:t>
      </w:r>
      <w:r>
        <w:t xml:space="preserve">pending D003.]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Use only ledger-verified sources (</w:t>
      </w:r>
      <w:r>
        <w:rPr>
          <w:rStyle w:val="VerbatimChar"/>
        </w:rPr>
        <w:t xml:space="preserve">docs/literature_evidence_ledger_v2.csv</w:t>
      </w:r>
      <w:r>
        <w:t xml:space="preserve">); the current</w:t>
      </w:r>
      <w:r>
        <w:t xml:space="preserve"> </w:t>
      </w:r>
      <w:r>
        <w:t xml:space="preserve">candidate list is master status Section 21.1. Patton (2011) is retained (LIT-012);</w:t>
      </w:r>
      <w:r>
        <w:t xml:space="preserve"> </w:t>
      </w:r>
      <w:r>
        <w:t xml:space="preserve">Corsi (2009) and the three ScienceDirect full texts must be obtained before the reference</w:t>
      </w:r>
      <w:r>
        <w:t xml:space="preserve"> </w:t>
      </w:r>
      <w:r>
        <w:t xml:space="preserve">list freezes; limited sources may not support strong claims.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Point-in-time options information for forecasting next-30-minute realised variance</dc:title>
  <dc:creator/>
  <cp:keywords/>
  <dcterms:created xsi:type="dcterms:W3CDTF">2026-08-17T19:46:19Z</dcterms:created>
  <dcterms:modified xsi:type="dcterms:W3CDTF">2026-08-17T19:46:19Z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