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Point-in-time options information for forecasting next-30-minute realised variance</w:t>
      </w:r>
    </w:p>
    <w:bookmarkStart w:id="38" w:name="X38984083efee9680b21f1536dd8294d72ad0f10"/>
    <w:p>
      <w:pPr>
        <w:pStyle w:val="Heading1"/>
      </w:pPr>
      <w:r>
        <w:t xml:space="preserve">Point-in-time options information for forecasting next-30-minute realised variance</w:t>
      </w:r>
    </w:p>
    <w:p>
      <w:pPr>
        <w:pStyle w:val="FirstParagraph"/>
      </w:pPr>
      <w:r>
        <w:rPr>
          <w:bCs/>
          <w:b/>
        </w:rPr>
        <w:t xml:space="preserve">Final capstone report — DRAFT v2, full prose (2026-08-18)</w:t>
      </w:r>
    </w:p>
    <w:p>
      <w:pPr>
        <w:pStyle w:val="BlockText"/>
      </w:pPr>
      <w:r>
        <w:t xml:space="preserve">Status:</w:t>
      </w:r>
      <w:r>
        <w:t xml:space="preserve"> </w:t>
      </w:r>
      <w:r>
        <w:rPr>
          <w:rStyle w:val="VerbatimChar"/>
        </w:rPr>
        <w:t xml:space="preserve">PROSE_COMPLETE_PENDING_D003_AND_PHASE8</w:t>
      </w:r>
      <w:r>
        <w:t xml:space="preserve">. Supersedes the v1 skeleton. Open</w:t>
      </w:r>
      <w:r>
        <w:t xml:space="preserve"> </w:t>
      </w:r>
      <w:r>
        <w:t xml:space="preserve">slots: [D003] institutional formatting/ethics wording; [PHASE8] the 2026-08-29 read;</w:t>
      </w:r>
      <w:r>
        <w:t xml:space="preserve"> </w:t>
      </w:r>
      <w:r>
        <w:t xml:space="preserve">[PHASE9-NOTE] optional status line at submission. All claims bounded by decision 53;</w:t>
      </w:r>
      <w:r>
        <w:t xml:space="preserve"> </w:t>
      </w:r>
      <w:r>
        <w:t xml:space="preserve">exploratory findings carry their labels and the</w:t>
      </w:r>
      <w:r>
        <w:t xml:space="preserve"> </w:t>
      </w:r>
      <w:r>
        <w:rPr>
          <w:rStyle w:val="VerbatimChar"/>
        </w:rPr>
        <w:t xml:space="preserve">positive_findings_v1.md</w:t>
      </w:r>
      <w:r>
        <w:t xml:space="preserve"> </w:t>
      </w:r>
      <w:r>
        <w:t xml:space="preserve">citation</w:t>
      </w:r>
      <w:r>
        <w:t xml:space="preserve"> </w:t>
      </w:r>
      <w:r>
        <w:t xml:space="preserve">rule. Numbers are drawn only from the frozen artifacts cited in each section.</w:t>
      </w:r>
    </w:p>
    <w:bookmarkStart w:id="20" w:name="title-page-d003"/>
    <w:p>
      <w:pPr>
        <w:pStyle w:val="Heading2"/>
      </w:pPr>
      <w:r>
        <w:t xml:space="preserve">Title page — [D003]</w: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project asks whether option-market information improves out-of-sample prediction</w:t>
      </w:r>
      <w:r>
        <w:t xml:space="preserve"> </w:t>
      </w:r>
      <w:r>
        <w:t xml:space="preserve">of the realised variance of large US equities over the next thirty minutes (RV30). At</w:t>
      </w:r>
      <w:r>
        <w:t xml:space="preserve"> </w:t>
      </w:r>
      <w:r>
        <w:t xml:space="preserve">five-minute origins during the regular New York session, three nested information sets</w:t>
      </w:r>
      <w:r>
        <w:t xml:space="preserve"> </w:t>
      </w:r>
      <w:r>
        <w:t xml:space="preserve">are compared on identical origins: underlying and market state (B0); B0 plus</w:t>
      </w:r>
      <w:r>
        <w:t xml:space="preserve"> </w:t>
      </w:r>
      <w:r>
        <w:t xml:space="preserve">conventional option state such as at-the-money implied variance (B1); and B1 plus</w:t>
      </w:r>
      <w:r>
        <w:t xml:space="preserve"> </w:t>
      </w:r>
      <w:r>
        <w:t xml:space="preserve">point-in-time option-trade activity (B2). Six liquid equities form the outcome universe.</w:t>
      </w:r>
      <w:r>
        <w:t xml:space="preserve"> </w:t>
      </w:r>
      <w:r>
        <w:t xml:space="preserve">Under preregistered, hash-sealed, one-read evaluation gates, the prospective holdout</w:t>
      </w:r>
      <w:r>
        <w:t xml:space="preserve"> </w:t>
      </w:r>
      <w:r>
        <w:t xml:space="preserve">returned null for both nested contrasts. Retrospective evaluations show a recurring</w:t>
      </w:r>
      <w:r>
        <w:t xml:space="preserve"> </w:t>
      </w:r>
      <w:r>
        <w:t xml:space="preserve">positive B2 increment that is specific to a miscalibrated confirmatory model family and</w:t>
      </w:r>
      <w:r>
        <w:t xml:space="preserve"> </w:t>
      </w:r>
      <w:r>
        <w:t xml:space="preserve">is rejected by every usability probe; by contrast, the total option-information</w:t>
      </w:r>
      <w:r>
        <w:t xml:space="preserve"> </w:t>
      </w:r>
      <w:r>
        <w:t xml:space="preserve">contribution is positive across independent model families through most of the sample</w:t>
      </w:r>
      <w:r>
        <w:t xml:space="preserve"> </w:t>
      </w:r>
      <w:r>
        <w:t xml:space="preserve">period, is concentrated in option state, survives HAR-augmented baselines, and decays</w:t>
      </w:r>
      <w:r>
        <w:t xml:space="preserve"> </w:t>
      </w:r>
      <w:r>
        <w:t xml:space="preserve">measurably to zero by 2026. Both foundational point-in-time assumptions were converted</w:t>
      </w:r>
      <w:r>
        <w:t xml:space="preserve"> </w:t>
      </w:r>
      <w:r>
        <w:t xml:space="preserve">from registered assumptions into measurements. A second prospective, equivalence-armed</w:t>
      </w:r>
      <w:r>
        <w:t xml:space="preserve"> </w:t>
      </w:r>
      <w:r>
        <w:t xml:space="preserve">read closes the study. The contribution is a rigorously bounded answer — where, when,</w:t>
      </w:r>
      <w:r>
        <w:t xml:space="preserve"> </w:t>
      </w:r>
      <w:r>
        <w:t xml:space="preserve">and for whom option information mattered — together with reusable point-in-time</w:t>
      </w:r>
      <w:r>
        <w:t xml:space="preserve"> </w:t>
      </w:r>
      <w:r>
        <w:t xml:space="preserve">research infrastructure. No causal, directional, or profitability claim is made.</w: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Short-horizon realised-variance forecasting sits at the intersection of two mature</w:t>
      </w:r>
      <w:r>
        <w:t xml:space="preserve"> </w:t>
      </w:r>
      <w:r>
        <w:t xml:space="preserve">literatures: autoregressive realised-variance modelling, in which heterogeneous</w:t>
      </w:r>
      <w:r>
        <w:t xml:space="preserve"> </w:t>
      </w:r>
      <w:r>
        <w:t xml:space="preserve">lag structures (HAR-type models) set a demanding baseline, and options-based</w:t>
      </w:r>
      <w:r>
        <w:t xml:space="preserve"> </w:t>
      </w:r>
      <w:r>
        <w:t xml:space="preserve">volatility forecasting, in which option prices are treated as forward-looking</w:t>
      </w:r>
      <w:r>
        <w:t xml:space="preserve"> </w:t>
      </w:r>
      <w:r>
        <w:t xml:space="preserve">information. Between them lies a specific and surprisingly under-tested question:</w:t>
      </w:r>
      <w:r>
        <w:t xml:space="preserve"> </w:t>
      </w:r>
      <w:r>
        <w:t xml:space="preserve">does option-trade</w:t>
      </w:r>
      <w:r>
        <w:t xml:space="preserve"> </w:t>
      </w:r>
      <w:r>
        <w:rPr>
          <w:iCs/>
          <w:i/>
        </w:rPr>
        <w:t xml:space="preserve">activity</w:t>
      </w:r>
      <w:r>
        <w:t xml:space="preserve"> </w:t>
      </w:r>
      <w:r>
        <w:t xml:space="preserve">— what was just traded, over and above what option</w:t>
      </w:r>
      <w:r>
        <w:t xml:space="preserve"> </w:t>
      </w:r>
      <w:r>
        <w:rPr>
          <w:iCs/>
          <w:i/>
        </w:rPr>
        <w:t xml:space="preserve">prices</w:t>
      </w:r>
      <w:r>
        <w:t xml:space="preserve"> </w:t>
      </w:r>
      <w:r>
        <w:t xml:space="preserve">already say — add incremental predictive information at intraday horizons,</w:t>
      </w:r>
      <w:r>
        <w:t xml:space="preserve"> </w:t>
      </w:r>
      <w:r>
        <w:t xml:space="preserve">when the forecaster is restricted to information that was operationally available at</w:t>
      </w:r>
      <w:r>
        <w:t xml:space="preserve"> </w:t>
      </w:r>
      <w:r>
        <w:t xml:space="preserve">the moment of the forecast?</w:t>
      </w:r>
    </w:p>
    <w:p>
      <w:pPr>
        <w:pStyle w:val="BodyText"/>
      </w:pPr>
      <w:r>
        <w:t xml:space="preserve">That restriction is the heart of this project. Most existing evidence on</w:t>
      </w:r>
      <w:r>
        <w:t xml:space="preserve"> </w:t>
      </w:r>
      <w:r>
        <w:t xml:space="preserve">options-based volatility prediction is daily-or-longer horizon and is silent about</w:t>
      </w:r>
      <w:r>
        <w:t xml:space="preserve"> </w:t>
      </w:r>
      <w:r>
        <w:t xml:space="preserve">operational availability: whether the researcher’s data existed, in the form used, at</w:t>
      </w:r>
      <w:r>
        <w:t xml:space="preserve"> </w:t>
      </w:r>
      <w:r>
        <w:t xml:space="preserve">the moment the forecast pretends to have been made. This project builds a</w:t>
      </w:r>
      <w:r>
        <w:t xml:space="preserve"> </w:t>
      </w:r>
      <w:r>
        <w:t xml:space="preserve">point-in-time (PIT) panel from three commercial providers under explicit,</w:t>
      </w:r>
      <w:r>
        <w:t xml:space="preserve"> </w:t>
      </w:r>
      <w:r>
        <w:t xml:space="preserve">registered availability rules; freezes every estimand, model, and stop rule before</w:t>
      </w:r>
      <w:r>
        <w:t xml:space="preserve"> </w:t>
      </w:r>
      <w:r>
        <w:t xml:space="preserve">outcomes are read; and treats a preregistered null as a publishable answer rather</w:t>
      </w:r>
      <w:r>
        <w:t xml:space="preserve"> </w:t>
      </w:r>
      <w:r>
        <w:t xml:space="preserve">than a failure. The research question is strictly predictive-informational: does the</w:t>
      </w:r>
      <w:r>
        <w:t xml:space="preserve"> </w:t>
      </w:r>
      <w:r>
        <w:t xml:space="preserve">expanded information set reduce out-of-sample QLIKE loss for RV30 on identical</w:t>
      </w:r>
      <w:r>
        <w:t xml:space="preserve"> </w:t>
      </w:r>
      <w:r>
        <w:t xml:space="preserve">forecast origins? No claim about trader intent, direction, causality, or</w:t>
      </w:r>
      <w:r>
        <w:t xml:space="preserve"> </w:t>
      </w:r>
      <w:r>
        <w:t xml:space="preserve">profitability is in scope.</w:t>
      </w:r>
    </w:p>
    <w:p>
      <w:pPr>
        <w:pStyle w:val="BodyText"/>
      </w:pPr>
      <w:r>
        <w:t xml:space="preserve">The study’s arc, stated up front: the only prospective preregistered test returned</w:t>
      </w:r>
      <w:r>
        <w:t xml:space="preserve"> </w:t>
      </w:r>
      <w:r>
        <w:t xml:space="preserve">null; a statistically strong retrospective increment turned out to be a property of a</w:t>
      </w:r>
      <w:r>
        <w:t xml:space="preserve"> </w:t>
      </w:r>
      <w:r>
        <w:t xml:space="preserve">miscalibrated model family rather than of the information; and the honest positive —</w:t>
      </w:r>
      <w:r>
        <w:t xml:space="preserve"> </w:t>
      </w:r>
      <w:r>
        <w:t xml:space="preserve">model-robust, exploratory, and era-bound — is that option</w:t>
      </w:r>
      <w:r>
        <w:t xml:space="preserve"> </w:t>
      </w:r>
      <w:r>
        <w:rPr>
          <w:iCs/>
          <w:i/>
        </w:rPr>
        <w:t xml:space="preserve">state</w:t>
      </w:r>
      <w:r>
        <w:t xml:space="preserve"> </w:t>
      </w:r>
      <w:r>
        <w:t xml:space="preserve">carried real</w:t>
      </w:r>
      <w:r>
        <w:t xml:space="preserve"> </w:t>
      </w:r>
      <w:r>
        <w:t xml:space="preserve">incremental information for intraday variance through 2024 and 2025 and measurably</w:t>
      </w:r>
      <w:r>
        <w:t xml:space="preserve"> </w:t>
      </w:r>
      <w:r>
        <w:t xml:space="preserve">stopped doing so. The report defends each leg of that sentence in turn.</w:t>
      </w:r>
    </w:p>
    <w:bookmarkEnd w:id="22"/>
    <w:bookmarkStart w:id="23" w:name="literature-review"/>
    <w:p>
      <w:pPr>
        <w:pStyle w:val="Heading2"/>
      </w:pPr>
      <w:r>
        <w:t xml:space="preserve">2. Literature review</w:t>
      </w:r>
    </w:p>
    <w:p>
      <w:pPr>
        <w:pStyle w:val="FirstParagraph"/>
      </w:pPr>
      <w:r>
        <w:t xml:space="preserve">[D003 note: reference list frozen only after Corsi (2009) and the two remaining</w:t>
      </w:r>
      <w:r>
        <w:t xml:space="preserve"> </w:t>
      </w:r>
      <w:r>
        <w:t xml:space="preserve">full texts are retained; ledger-verified sources only.]</w:t>
      </w:r>
    </w:p>
    <w:p>
      <w:pPr>
        <w:pStyle w:val="BodyText"/>
      </w:pPr>
      <w:r>
        <w:t xml:space="preserve">Four strands frame the design and, importantly, made predictions that the data could</w:t>
      </w:r>
      <w:r>
        <w:t xml:space="preserve"> </w:t>
      </w:r>
      <w:r>
        <w:t xml:space="preserve">contradict. First, the HAR tradition following Corsi (2009) holds that realised</w:t>
      </w:r>
      <w:r>
        <w:t xml:space="preserve"> </w:t>
      </w:r>
      <w:r>
        <w:t xml:space="preserve">variance is dominated by its own multi-horizon history; any candidate predictor must</w:t>
      </w:r>
      <w:r>
        <w:t xml:space="preserve"> </w:t>
      </w:r>
      <w:r>
        <w:t xml:space="preserve">beat a heterogeneous autoregressive baseline, not merely a naive one. This project’s</w:t>
      </w:r>
      <w:r>
        <w:t xml:space="preserve"> </w:t>
      </w:r>
      <w:r>
        <w:t xml:space="preserve">results agree completely: its HARQ implementation is the best baseline in its ladder,</w:t>
      </w:r>
      <w:r>
        <w:t xml:space="preserve"> </w:t>
      </w:r>
      <w:r>
        <w:t xml:space="preserve">and the candidate activity block adds nothing to it on development data (§5.4).</w:t>
      </w:r>
    </w:p>
    <w:p>
      <w:pPr>
        <w:pStyle w:val="BodyText"/>
      </w:pPr>
      <w:r>
        <w:t xml:space="preserve">Second, the implied-volatility informativeness literature (Christensen and Prabhala</w:t>
      </w:r>
      <w:r>
        <w:t xml:space="preserve"> </w:t>
      </w:r>
      <w:r>
        <w:t xml:space="preserve">1998; Blair, Poon and Taylor 2001; Busch, Christensen and Nielsen 2011) documents that</w:t>
      </w:r>
      <w:r>
        <w:t xml:space="preserve"> </w:t>
      </w:r>
      <w:r>
        <w:t xml:space="preserve">option prices predict future realised volatility at daily and longer horizons. This</w:t>
      </w:r>
      <w:r>
        <w:t xml:space="preserve"> </w:t>
      </w:r>
      <w:r>
        <w:t xml:space="preserve">project refines the scope of that result rather than contradicting it: at a</w:t>
      </w:r>
      <w:r>
        <w:t xml:space="preserve"> </w:t>
      </w:r>
      <w:r>
        <w:t xml:space="preserve">thirty-minute horizon with rich lagged-intraday-RV controls, the ATM-implied-variance</w:t>
      </w:r>
      <w:r>
        <w:t xml:space="preserve"> </w:t>
      </w:r>
      <w:r>
        <w:t xml:space="preserve">level adds no reliable value under the frozen campaign designs — while the same</w:t>
      </w:r>
      <w:r>
        <w:t xml:space="preserve"> </w:t>
      </w:r>
      <w:r>
        <w:t xml:space="preserve">option-state block is precisely where the model-robust exploratory gains concentrate</w:t>
      </w:r>
      <w:r>
        <w:t xml:space="preserve"> </w:t>
      </w:r>
      <w:r>
        <w:t xml:space="preserve">under a uniform ladder (§5.5). The reconciliation is horizon and baseline richness,</w:t>
      </w:r>
      <w:r>
        <w:t xml:space="preserve"> </w:t>
      </w:r>
      <w:r>
        <w:t xml:space="preserve">and it is one of the report’s clearest findings.</w:t>
      </w:r>
    </w:p>
    <w:p>
      <w:pPr>
        <w:pStyle w:val="BodyText"/>
      </w:pPr>
      <w:r>
        <w:t xml:space="preserve">Third, the options-activity and informed-trading strand (Easley, O’Hara and</w:t>
      </w:r>
      <w:r>
        <w:t xml:space="preserve"> </w:t>
      </w:r>
      <w:r>
        <w:t xml:space="preserve">Srinivas 1998; Pan and Poteshman 2006) motivates B2: if some option trades carry</w:t>
      </w:r>
      <w:r>
        <w:t xml:space="preserve"> </w:t>
      </w:r>
      <w:r>
        <w:t xml:space="preserve">private information, recent activity should predict near-term variance, plausibly</w:t>
      </w:r>
      <w:r>
        <w:t xml:space="preserve"> </w:t>
      </w:r>
      <w:r>
        <w:t xml:space="preserve">concentrated around information events. The data reject the economically motivated</w:t>
      </w:r>
      <w:r>
        <w:t xml:space="preserve"> </w:t>
      </w:r>
      <w:r>
        <w:t xml:space="preserve">version of this hypothesis in the current era: the activity increment is invisible to</w:t>
      </w:r>
      <w:r>
        <w:t xml:space="preserve"> </w:t>
      </w:r>
      <w:r>
        <w:t xml:space="preserve">calibrated models, anti-concentrated around earnings, and flat across horizons (§5.3,</w:t>
      </w:r>
      <w:r>
        <w:t xml:space="preserve"> </w:t>
      </w:r>
      <w:r>
        <w:t xml:space="preserve">§6).</w:t>
      </w:r>
    </w:p>
    <w:p>
      <w:pPr>
        <w:pStyle w:val="BodyText"/>
      </w:pPr>
      <w:r>
        <w:t xml:space="preserve">Fourth, Patton (2011) and Patton and Sheppard establish that QLIKE-based forecast</w:t>
      </w:r>
      <w:r>
        <w:t xml:space="preserve"> </w:t>
      </w:r>
      <w:r>
        <w:t xml:space="preserve">rankings are trustworthy only for conditionally unbiased proxies and well-calibrated</w:t>
      </w:r>
      <w:r>
        <w:t xml:space="preserve"> </w:t>
      </w:r>
      <w:r>
        <w:t xml:space="preserve">forecasts. This strand turned out to be the report’s interpretive key: the headline</w:t>
      </w:r>
      <w:r>
        <w:t xml:space="preserve"> </w:t>
      </w:r>
      <w:r>
        <w:t xml:space="preserve">“</w:t>
      </w:r>
      <w:r>
        <w:t xml:space="preserve">model-family-dependent</w:t>
      </w:r>
      <w:r>
        <w:t xml:space="preserve">”</w:t>
      </w:r>
      <w:r>
        <w:t xml:space="preserve"> </w:t>
      </w:r>
      <w:r>
        <w:t xml:space="preserve">complication is not an anomaly but an anticipated</w:t>
      </w:r>
      <w:r>
        <w:t xml:space="preserve"> </w:t>
      </w:r>
      <w:r>
        <w:t xml:space="preserve">consequence of comparing a miscalibrated family with a calibrated one under QLIKE</w:t>
      </w:r>
      <w:r>
        <w:t xml:space="preserve"> </w:t>
      </w:r>
      <w:r>
        <w:t xml:space="preserve">(§5.3). Recent intraday work (Caporin et al. 2024; Puke and Schweikert 2026; Michael</w:t>
      </w:r>
      <w:r>
        <w:t xml:space="preserve"> </w:t>
      </w:r>
      <w:r>
        <w:t xml:space="preserve">et al. 2025) completes the positioning: options-driven machine-learning gains reported</w:t>
      </w:r>
      <w:r>
        <w:t xml:space="preserve"> </w:t>
      </w:r>
      <w:r>
        <w:t xml:space="preserve">at daily horizons do not automatically transfer intraday under strict PIT rules.</w:t>
      </w:r>
    </w:p>
    <w:bookmarkEnd w:id="23"/>
    <w:bookmarkStart w:id="24" w:name="data-and-point-in-time-discipline"/>
    <w:p>
      <w:pPr>
        <w:pStyle w:val="Heading2"/>
      </w:pPr>
      <w:r>
        <w:t xml:space="preserve">3. Data and point-in-time discipline</w:t>
      </w:r>
    </w:p>
    <w:p>
      <w:pPr>
        <w:pStyle w:val="FirstParagraph"/>
      </w:pPr>
      <w:r>
        <w:t xml:space="preserve">Three commercial providers feed the panel. FMP supplies one-minute underlying bars,</w:t>
      </w:r>
      <w:r>
        <w:t xml:space="preserve"> </w:t>
      </w:r>
      <w:r>
        <w:t xml:space="preserve">from which both the target and the lagged realised-variance features are built.</w:t>
      </w:r>
      <w:r>
        <w:t xml:space="preserve"> </w:t>
      </w:r>
      <w:r>
        <w:t xml:space="preserve">Massive (a Polygon-compatible service) supplies historical option quotes for the</w:t>
      </w:r>
      <w:r>
        <w:t xml:space="preserve"> </w:t>
      </w:r>
      <w:r>
        <w:t xml:space="preserve">option-state block. Unusual Whales supplies the option-trade tape for the activity</w:t>
      </w:r>
      <w:r>
        <w:t xml:space="preserve"> </w:t>
      </w:r>
      <w:r>
        <w:t xml:space="preserve">block. Raw licensed data live outside the repository; the committed evidence consists</w:t>
      </w:r>
      <w:r>
        <w:t xml:space="preserve"> </w:t>
      </w:r>
      <w:r>
        <w:t xml:space="preserve">of code, schemas, preregistration manifests, SHA-256 hashes, access ledgers, and</w:t>
      </w:r>
      <w:r>
        <w:t xml:space="preserve"> </w:t>
      </w:r>
      <w:r>
        <w:t xml:space="preserve">aggregate artifacts — controlled auditability rather than raw redistribution.</w:t>
      </w:r>
    </w:p>
    <w:p>
      <w:pPr>
        <w:pStyle w:val="BodyText"/>
      </w:pPr>
      <w:r>
        <w:t xml:space="preserve">The target is unannualised RV30: the sum of thirty squared one-minute log returns</w:t>
      </w:r>
      <w:r>
        <w:t xml:space="preserve"> </w:t>
      </w:r>
      <w:r>
        <w:t xml:space="preserve">from thirty-one consecutive closes following each forecast origin. Origins lie on a</w:t>
      </w:r>
      <w:r>
        <w:t xml:space="preserve"> </w:t>
      </w:r>
      <w:r>
        <w:t xml:space="preserve">five-minute grid inside the regular XNYS session. The outcome universe is six liquid</w:t>
      </w:r>
      <w:r>
        <w:t xml:space="preserve"> </w:t>
      </w:r>
      <w:r>
        <w:t xml:space="preserve">mega-cap equities (AAPL, AMZN, META, MSFT, NVDA, TSLA) with SPY and QQQ as market</w:t>
      </w:r>
      <w:r>
        <w:t xml:space="preserve"> </w:t>
      </w:r>
      <w:r>
        <w:t xml:space="preserve">controls — a deliberate, stated scope limitation (§7).</w:t>
      </w:r>
    </w:p>
    <w:p>
      <w:pPr>
        <w:pStyle w:val="BodyText"/>
      </w:pPr>
      <w:r>
        <w:t xml:space="preserve">Two availability assumptions underpinned the original design, and both have been</w:t>
      </w:r>
      <w:r>
        <w:t xml:space="preserve"> </w:t>
      </w:r>
      <w:r>
        <w:t xml:space="preserve">moved from assumption to measurement. Bar-label semantics (A001): whether a bar</w:t>
      </w:r>
      <w:r>
        <w:t xml:space="preserve"> </w:t>
      </w:r>
      <w:r>
        <w:t xml:space="preserve">labelled 09:35 is available at 09:35 or 09:36 governs every feature and target</w:t>
      </w:r>
      <w:r>
        <w:t xml:space="preserve"> </w:t>
      </w:r>
      <w:r>
        <w:t xml:space="preserve">window. A cross-provider reconciliation downloaded the same one-minute bars from FMP</w:t>
      </w:r>
      <w:r>
        <w:t xml:space="preserve"> </w:t>
      </w:r>
      <w:r>
        <w:t xml:space="preserve">and Massive for ten stratified sessions spanning 2024–2026: under identical labels the</w:t>
      </w:r>
      <w:r>
        <w:t xml:space="preserve"> </w:t>
      </w:r>
      <w:r>
        <w:t xml:space="preserve">providers agree with a median relative close difference of 3.1e−06 — two orders of</w:t>
      </w:r>
      <w:r>
        <w:t xml:space="preserve"> </w:t>
      </w:r>
      <w:r>
        <w:t xml:space="preserve">magnitude tighter than the shifted alternative — and the reconstructed thirty-minute</w:t>
      </w:r>
      <w:r>
        <w:t xml:space="preserve"> </w:t>
      </w:r>
      <w:r>
        <w:t xml:space="preserve">lagged RV matches the frozen panel column with log-correlation 1.0000. A001 is</w:t>
      </w:r>
      <w:r>
        <w:t xml:space="preserve"> </w:t>
      </w:r>
      <w:r>
        <w:t xml:space="preserve">retired, and a standing tripwire test fails the suite if a future acquisition breaks</w:t>
      </w:r>
      <w:r>
        <w:t xml:space="preserve"> </w:t>
      </w:r>
      <w:r>
        <w:t xml:space="preserve">the agreement. Trade-record availability (A002): the tape’s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field is</w:t>
      </w:r>
      <w:r>
        <w:t xml:space="preserve"> </w:t>
      </w:r>
      <w:r>
        <w:t xml:space="preserve">used as an availability proxy with a registered sixty-second cutoff. A live</w:t>
      </w:r>
      <w:r>
        <w:t xml:space="preserve"> </w:t>
      </w:r>
      <w:r>
        <w:t xml:space="preserve">measurement campaign now polls the flow channel intraday, records local receipt</w:t>
      </w:r>
      <w:r>
        <w:t xml:space="preserve"> </w:t>
      </w:r>
      <w:r>
        <w:t xml:space="preserve">timestamps, and reconciles them against the historical tape seven days later, under</w:t>
      </w:r>
      <w:r>
        <w:t xml:space="preserve"> </w:t>
      </w:r>
      <w:r>
        <w:t xml:space="preserve">thresholds fixed before the first reconciliation existed (decision 57): live-era P95</w:t>
      </w:r>
      <w:r>
        <w:t xml:space="preserve"> </w:t>
      </w:r>
      <w:r>
        <w:t xml:space="preserve">latency versus the sixty-second cutoff, a five-percent backfill upper bound, and a</w:t>
      </w:r>
      <w:r>
        <w:t xml:space="preserve"> </w:t>
      </w:r>
      <w:r>
        <w:t xml:space="preserve">one-percent revision rate. [Update at submission with the accumulated reconciliation</w:t>
      </w:r>
      <w:r>
        <w:t xml:space="preserve"> </w:t>
      </w:r>
      <w:r>
        <w:t xml:space="preserve">statistics.] The historical 2024–2025 tapes remain assumption-based; that residual is</w:t>
      </w:r>
      <w:r>
        <w:t xml:space="preserve"> </w:t>
      </w:r>
      <w:r>
        <w:t xml:space="preserve">permanent and is carried in the threats matrix rather than hidden.</w:t>
      </w:r>
    </w:p>
    <w:p>
      <w:pPr>
        <w:pStyle w:val="BodyText"/>
      </w:pPr>
      <w:r>
        <w:t xml:space="preserve">Evaluation samples span four eras with frozen feature panels: 2024-08 to 2024-12</w:t>
      </w:r>
      <w:r>
        <w:t xml:space="preserve"> </w:t>
      </w:r>
      <w:r>
        <w:t xml:space="preserve">(ninety sessions), 2025-03 to 2025-07 (ninety), 2025-08 to 2026-03 (one hundred and</w:t>
      </w:r>
      <w:r>
        <w:t xml:space="preserve"> </w:t>
      </w:r>
      <w:r>
        <w:t xml:space="preserve">sixty), and 2026-03 to 2026-07 (eighty development sessions), plus the ten-session</w:t>
      </w:r>
      <w:r>
        <w:t xml:space="preserve"> </w:t>
      </w:r>
      <w:r>
        <w:t xml:space="preserve">prospective holdout of July 2026 and the thirty-session prospective Phase 8 window of</w:t>
      </w:r>
      <w:r>
        <w:t xml:space="preserve"> </w:t>
      </w:r>
      <w:r>
        <w:t xml:space="preserve">July–August 2026.</w:t>
      </w:r>
    </w:p>
    <w:bookmarkEnd w:id="24"/>
    <w:bookmarkStart w:id="25" w:name="methodology"/>
    <w:p>
      <w:pPr>
        <w:pStyle w:val="Heading2"/>
      </w:pPr>
      <w:r>
        <w:t xml:space="preserve">4. Methodology</w:t>
      </w:r>
    </w:p>
    <w:p>
      <w:pPr>
        <w:pStyle w:val="FirstParagraph"/>
      </w:pPr>
      <w:r>
        <w:t xml:space="preserve">The design compares nested information sets on identical origins, so every contrast</w:t>
      </w:r>
      <w:r>
        <w:t xml:space="preserve"> </w:t>
      </w:r>
      <w:r>
        <w:t xml:space="preserve">is a paired comparison free of sample-composition differences. The primary loss is</w:t>
      </w:r>
      <w:r>
        <w:t xml:space="preserve"> </w:t>
      </w:r>
      <w:r>
        <w:t xml:space="preserve">QLIKE, standard for variance forecasts and sensitive to calibration — a property that</w:t>
      </w:r>
      <w:r>
        <w:t xml:space="preserve"> </w:t>
      </w:r>
      <w:r>
        <w:t xml:space="preserve">becomes substantive in §5.3. The confirmatory lineage fixed a regularised Gamma GLM</w:t>
      </w:r>
      <w:r>
        <w:t xml:space="preserve"> </w:t>
      </w:r>
      <w:r>
        <w:t xml:space="preserve">with a fixed LightGBM challenger; the report’s later analyses add the field-standard</w:t>
      </w:r>
      <w:r>
        <w:t xml:space="preserve"> </w:t>
      </w:r>
      <w:r>
        <w:t xml:space="preserve">baselines the original ladder lacked: an intraday HAR at the thirty-minute horizon</w:t>
      </w:r>
      <w:r>
        <w:t xml:space="preserve"> </w:t>
      </w:r>
      <w:r>
        <w:t xml:space="preserve">(lagged thirty-minute, session-to-date, daily and weekly RV components with intraday</w:t>
      </w:r>
      <w:r>
        <w:t xml:space="preserve"> </w:t>
      </w:r>
      <w:r>
        <w:t xml:space="preserve">periodicity terms) and HARQ (realised-quarticity attenuation), fitted by log-OLS with</w:t>
      </w:r>
      <w:r>
        <w:t xml:space="preserve"> </w:t>
      </w:r>
      <w:r>
        <w:t xml:space="preserve">lognormal smearing, validated on development data only.</w:t>
      </w:r>
    </w:p>
    <w:p>
      <w:pPr>
        <w:pStyle w:val="BodyText"/>
      </w:pPr>
      <w:r>
        <w:t xml:space="preserve">Governance is the methodological core. Every campaign froze its question, estimands,</w:t>
      </w:r>
      <w:r>
        <w:t xml:space="preserve"> </w:t>
      </w:r>
      <w:r>
        <w:t xml:space="preserve">universe, session lists, models, and stop rules in hash-sealed preregistration</w:t>
      </w:r>
      <w:r>
        <w:t xml:space="preserve"> </w:t>
      </w:r>
      <w:r>
        <w:t xml:space="preserve">manifests before outcomes were read; sealed holdouts are read exactly once under</w:t>
      </w:r>
      <w:r>
        <w:t xml:space="preserve"> </w:t>
      </w:r>
      <w:r>
        <w:t xml:space="preserve">access-ledger control; a binding claims hierarchy (decision 53) orders every report:</w:t>
      </w:r>
      <w:r>
        <w:t xml:space="preserve"> </w:t>
      </w:r>
      <w:r>
        <w:t xml:space="preserve">the prospective null first, retrospective evidence labelled by its exposure history,</w:t>
      </w:r>
      <w:r>
        <w:t xml:space="preserve"> </w:t>
      </w:r>
      <w:r>
        <w:t xml:space="preserve">and the bare word</w:t>
      </w:r>
      <w:r>
        <w:t xml:space="preserve"> </w:t>
      </w:r>
      <w:r>
        <w:t xml:space="preserve">“</w:t>
      </w:r>
      <w:r>
        <w:t xml:space="preserve">confirmed</w:t>
      </w:r>
      <w:r>
        <w:t xml:space="preserve">”</w:t>
      </w:r>
      <w:r>
        <w:t xml:space="preserve"> </w:t>
      </w:r>
      <w:r>
        <w:t xml:space="preserve">forbidden while the confirmatory arrays are empty.</w:t>
      </w:r>
    </w:p>
    <w:p>
      <w:pPr>
        <w:pStyle w:val="BodyText"/>
      </w:pPr>
      <w:r>
        <w:t xml:space="preserve">Inference was hardened after an audit found the original sign-bootstrap p-values</w:t>
      </w:r>
      <w:r>
        <w:t xml:space="preserve"> </w:t>
      </w:r>
      <w:r>
        <w:t xml:space="preserve">saturated at their resolution floor. Every registered contrast now carries: a cluster</w:t>
      </w:r>
      <w:r>
        <w:t xml:space="preserve"> </w:t>
      </w:r>
      <w:r>
        <w:t xml:space="preserve">t on daily loss differentials, a Newey–West (Diebold–Mariano) statistic with</w:t>
      </w:r>
      <w:r>
        <w:t xml:space="preserve"> </w:t>
      </w:r>
      <w:r>
        <w:t xml:space="preserve">automatic lag, a wild cluster bootstrap-t (Rademacher and Webb weights, 9,999</w:t>
      </w:r>
      <w:r>
        <w:t xml:space="preserve"> </w:t>
      </w:r>
      <w:r>
        <w:t xml:space="preserve">replications), serial-dependence diagnostics with moving-block alternatives where</w:t>
      </w:r>
      <w:r>
        <w:t xml:space="preserve"> </w:t>
      </w:r>
      <w:r>
        <w:t xml:space="preserve">lag-one autocorrelation is material (it reaches +0.62 exactly where the headline</w:t>
      </w:r>
      <w:r>
        <w:t xml:space="preserve"> </w:t>
      </w:r>
      <w:r>
        <w:t xml:space="preserve">lives), per-campaign Hansen–Lunde–Nason Model Confidence Sets, a formal test of the</w:t>
      </w:r>
      <w:r>
        <w:t xml:space="preserve"> </w:t>
      </w:r>
      <w:r>
        <w:t xml:space="preserve">model-family interaction, Gelman–Carlin design analysis for the challenger, and a</w:t>
      </w:r>
      <w:r>
        <w:t xml:space="preserve"> </w:t>
      </w:r>
      <w:r>
        <w:t xml:space="preserve">single global Holm correction across all thirty-six registered post-null contrasts —</w:t>
      </w:r>
      <w:r>
        <w:t xml:space="preserve"> </w:t>
      </w:r>
      <w:r>
        <w:t xml:space="preserve">stated as a conservative bound, since no retrospective correction is exact for a</w:t>
      </w:r>
      <w:r>
        <w:t xml:space="preserve"> </w:t>
      </w:r>
      <w:r>
        <w:t xml:space="preserve">data-dependent sequence.</w:t>
      </w:r>
    </w:p>
    <w:bookmarkEnd w:id="25"/>
    <w:bookmarkStart w:id="32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The order below is binding (decision 53).</w:t>
      </w:r>
    </w:p>
    <w:bookmarkStart w:id="26" w:name="Xa459b703206799147dd2efb4679fa4081c93e86"/>
    <w:p>
      <w:pPr>
        <w:pStyle w:val="Heading3"/>
      </w:pPr>
      <w:r>
        <w:t xml:space="preserve">5.1 The prospective preregistered test is null</w:t>
      </w:r>
    </w:p>
    <w:p>
      <w:pPr>
        <w:pStyle w:val="FirstParagraph"/>
      </w:pPr>
      <w:r>
        <w:t xml:space="preserve">The July 2026 holdout — sealed before collection, read once — returned null for both</w:t>
      </w:r>
      <w:r>
        <w:t xml:space="preserve"> </w:t>
      </w:r>
      <w:r>
        <w:t xml:space="preserve">nested contrasts under both families: Gamma B1−B0 = −0.0071 (Holm p 0.76), B2−B1 =</w:t>
      </w:r>
      <w:r>
        <w:t xml:space="preserve"> </w:t>
      </w:r>
      <w:r>
        <w:t xml:space="preserve">+0.0006 (p 0.87); LightGBM B1−B0 = −0.0114 (p 0.012, adverse), B2−B1 = −0.0005</w:t>
      </w:r>
      <w:r>
        <w:t xml:space="preserve"> </w:t>
      </w:r>
      <w:r>
        <w:t xml:space="preserve">(p 0.52). Under the studentized machinery the conclusion is unchanged. With ten</w:t>
      </w:r>
      <w:r>
        <w:t xml:space="preserve"> </w:t>
      </w:r>
      <w:r>
        <w:t xml:space="preserve">session clusters the achieved detectable effect is reported beside the null: the test</w:t>
      </w:r>
      <w:r>
        <w:t xml:space="preserve"> </w:t>
      </w:r>
      <w:r>
        <w:t xml:space="preserve">was honest, not decisive, which is why a second prospective read exists.</w:t>
      </w:r>
    </w:p>
    <w:bookmarkEnd w:id="26"/>
    <w:bookmarkStart w:id="27" w:name="phase8-the-second-prospective-read"/>
    <w:p>
      <w:pPr>
        <w:pStyle w:val="Heading3"/>
      </w:pPr>
      <w:r>
        <w:t xml:space="preserve">5.2 [PHASE8] The second prospective read</w:t>
      </w:r>
    </w:p>
    <w:p>
      <w:pPr>
        <w:pStyle w:val="FirstParagraph"/>
      </w:pPr>
      <w:r>
        <w:t xml:space="preserve">[Insert 2026-08-29 outcome under the frozen decision rules and the pre-read TOST</w:t>
      </w:r>
      <w:r>
        <w:t xml:space="preserve"> </w:t>
      </w:r>
      <w:r>
        <w:t xml:space="preserve">amendment: equivalence bound 0.005035, ex-ante predictions ≈ +0.005 for both family</w:t>
      </w:r>
      <w:r>
        <w:t xml:space="preserve"> </w:t>
      </w:r>
      <w:r>
        <w:t xml:space="preserve">proxies, adequately powered for the tree-family primary. A positive above the MDE in</w:t>
      </w:r>
      <w:r>
        <w:t xml:space="preserve"> </w:t>
      </w:r>
      <w:r>
        <w:t xml:space="preserve">both families supports the first global prospective claim; a null is affirmative</w:t>
      </w:r>
      <w:r>
        <w:t xml:space="preserve"> </w:t>
      </w:r>
      <w:r>
        <w:t xml:space="preserve">evidence of absence and, by precommitment, confirms the measured decay.]</w:t>
      </w:r>
    </w:p>
    <w:bookmarkEnd w:id="27"/>
    <w:bookmarkStart w:id="28" w:name="Xea0bbc427f7287f031e39f35b2a5b1b6a2dcbb5"/>
    <w:p>
      <w:pPr>
        <w:pStyle w:val="Heading3"/>
      </w:pPr>
      <w:r>
        <w:t xml:space="preserve">5.3 The retrospective Gamma increment is real as a statistic and rejected as information</w:t>
      </w:r>
    </w:p>
    <w:p>
      <w:pPr>
        <w:pStyle w:val="FirstParagraph"/>
      </w:pPr>
      <w:r>
        <w:t xml:space="preserve">Across the retrospective campaigns the confirmatory Gamma family shows a recurring</w:t>
      </w:r>
      <w:r>
        <w:t xml:space="preserve"> </w:t>
      </w:r>
      <w:r>
        <w:t xml:space="preserve">positive B2-over-B1 increment: +0.034 on the corrected 2025 replication, +0.053 on</w:t>
      </w:r>
      <w:r>
        <w:t xml:space="preserve"> </w:t>
      </w:r>
      <w:r>
        <w:t xml:space="preserve">the late-2024 confirmation, +0.035 to +0.078 on the exploratory 2024 blocks — each</w:t>
      </w:r>
      <w:r>
        <w:t xml:space="preserve"> </w:t>
      </w:r>
      <w:r>
        <w:t xml:space="preserve">surviving Newey–West correction, the wild bootstrap, and the global Holm family</w:t>
      </w:r>
      <w:r>
        <w:t xml:space="preserve"> </w:t>
      </w:r>
      <w:r>
        <w:t xml:space="preserve">(adjusted p 0.0036 for the binding sample). The increment also survives five</w:t>
      </w:r>
      <w:r>
        <w:t xml:space="preserve"> </w:t>
      </w:r>
      <w:r>
        <w:t xml:space="preserve">registered timing sensitivities, event-week removal, an AC(1) noise-robust target,</w:t>
      </w:r>
      <w:r>
        <w:t xml:space="preserve"> </w:t>
      </w:r>
      <w:r>
        <w:t xml:space="preserve">and inverse-probability selection reweighting (inclusion is 97.4 percent on the</w:t>
      </w:r>
      <w:r>
        <w:t xml:space="preserve"> </w:t>
      </w:r>
      <w:r>
        <w:t xml:space="preserve">binding sample; weights move the fourth decimal).</w:t>
      </w:r>
    </w:p>
    <w:p>
      <w:pPr>
        <w:pStyle w:val="BodyText"/>
      </w:pPr>
      <w:r>
        <w:t xml:space="preserve">Every probe of usability, however, points the same way. The fixed LightGBM challenger</w:t>
      </w:r>
      <w:r>
        <w:t xml:space="preserve"> </w:t>
      </w:r>
      <w:r>
        <w:t xml:space="preserve">is null or significantly reversed on the same origins — and Gelman–Carlin analysis</w:t>
      </w:r>
      <w:r>
        <w:t xml:space="preserve"> </w:t>
      </w:r>
      <w:r>
        <w:t xml:space="preserve">shows this is not a power artifact. The model-family interaction, tested formally for</w:t>
      </w:r>
      <w:r>
        <w:t xml:space="preserve"> </w:t>
      </w:r>
      <w:r>
        <w:t xml:space="preserve">the first time, is significant in every retrospective sample and null in the</w:t>
      </w:r>
      <w:r>
        <w:t xml:space="preserve"> </w:t>
      </w:r>
      <w:r>
        <w:t xml:space="preserve">prospective holdout. The Gamma family never enters any Model Confidence Set; on the</w:t>
      </w:r>
      <w:r>
        <w:t xml:space="preserve"> </w:t>
      </w:r>
      <w:r>
        <w:t xml:space="preserve">binding sample the best cell is LightGBM with no option information at all. Under</w:t>
      </w:r>
      <w:r>
        <w:t xml:space="preserve"> </w:t>
      </w:r>
      <w:r>
        <w:t xml:space="preserve">out-of-evaluation Mincer–Zarnowitz recalibration the increment collapses and reverses</w:t>
      </w:r>
      <w:r>
        <w:t xml:space="preserve"> </w:t>
      </w:r>
      <w:r>
        <w:t xml:space="preserve">on one binding sample (calibration repair) and survives on the other while its daily</w:t>
      </w:r>
      <w:r>
        <w:t xml:space="preserve"> </w:t>
      </w:r>
      <w:r>
        <w:t xml:space="preserve">magnitude tracks baseline bias with R² 0.66. Against HAR and HARQ baselines the</w:t>
      </w:r>
      <w:r>
        <w:t xml:space="preserve"> </w:t>
      </w:r>
      <w:r>
        <w:t xml:space="preserve">increment is null-to-negative. Economically, in calibrated families it is worth two</w:t>
      </w:r>
      <w:r>
        <w:t xml:space="preserve"> </w:t>
      </w:r>
      <w:r>
        <w:t xml:space="preserve">to nine cents per thirty-minute window per hundred thousand dollars of toy notional;</w:t>
      </w:r>
      <w:r>
        <w:t xml:space="preserve"> </w:t>
      </w:r>
      <w:r>
        <w:t xml:space="preserve">the only spectacular numbers in the project are the miscalibrated family’s baseline</w:t>
      </w:r>
      <w:r>
        <w:t xml:space="preserve"> </w:t>
      </w:r>
      <w:r>
        <w:t xml:space="preserve">explosion expressed in dollars. Patton (2011) predicted exactly this failure mode:</w:t>
      </w:r>
      <w:r>
        <w:t xml:space="preserve"> </w:t>
      </w:r>
      <w:r>
        <w:t xml:space="preserve">QLIKE rewards calibration, so features that repair a biased baseline masquerade as</w:t>
      </w:r>
      <w:r>
        <w:t xml:space="preserve"> </w:t>
      </w:r>
      <w:r>
        <w:t xml:space="preserve">information. The registered verdict — model-family-dependent, no global claim —</w:t>
      </w:r>
      <w:r>
        <w:t xml:space="preserve"> </w:t>
      </w:r>
      <w:r>
        <w:t xml:space="preserve">stands, now with its mechanism quantified.</w:t>
      </w:r>
    </w:p>
    <w:bookmarkEnd w:id="28"/>
    <w:bookmarkStart w:id="29" w:name="Xfda4d5761af0037af982e9c1bd6cfc354663424"/>
    <w:p>
      <w:pPr>
        <w:pStyle w:val="Heading3"/>
      </w:pPr>
      <w:r>
        <w:t xml:space="preserve">5.4 Field-standard baselines and the activity block</w:t>
      </w:r>
    </w:p>
    <w:p>
      <w:pPr>
        <w:pStyle w:val="FirstParagraph"/>
      </w:pPr>
      <w:r>
        <w:t xml:space="preserve">On development data the HARQ implementation is the strongest baseline of the ladder</w:t>
      </w:r>
      <w:r>
        <w:t xml:space="preserve"> </w:t>
      </w:r>
      <w:r>
        <w:t xml:space="preserve">(pooled out-of-sample QLIKE 0.18338), and adding the nine activity features to HAR or</w:t>
      </w:r>
      <w:r>
        <w:t xml:space="preserve"> </w:t>
      </w:r>
      <w:r>
        <w:t xml:space="preserve">HARQ makes forecasts marginally worse (−0.0010 and −0.0009, both ns). Combined with</w:t>
      </w:r>
      <w:r>
        <w:t xml:space="preserve"> </w:t>
      </w:r>
      <w:r>
        <w:t xml:space="preserve">the challenger’s nulls and the localization probes below, the conclusion is blunt:</w:t>
      </w:r>
      <w:r>
        <w:t xml:space="preserve"> </w:t>
      </w:r>
      <w:r>
        <w:t xml:space="preserve">option-trade activity, as engineered here, is not incremental information in the</w:t>
      </w:r>
      <w:r>
        <w:t xml:space="preserve"> </w:t>
      </w:r>
      <w:r>
        <w:t xml:space="preserve">current era.</w:t>
      </w:r>
    </w:p>
    <w:bookmarkEnd w:id="29"/>
    <w:bookmarkStart w:id="30" w:name="Xe2909dc3aa3c683e3a1db531b0a3508a6824939"/>
    <w:p>
      <w:pPr>
        <w:pStyle w:val="Heading3"/>
      </w:pPr>
      <w:r>
        <w:t xml:space="preserve">5.5 The exploratory, model-robust positive: option information in total</w:t>
      </w:r>
    </w:p>
    <w:p>
      <w:pPr>
        <w:pStyle w:val="FirstParagraph"/>
      </w:pPr>
      <w:r>
        <w:t xml:space="preserve">(Label: EXPLORATORY_DESCRIPTIVE, decision 56; citation rule applies.) When the</w:t>
      </w:r>
      <w:r>
        <w:t xml:space="preserve"> </w:t>
      </w:r>
      <w:r>
        <w:t xml:space="preserve">estimand is the</w:t>
      </w:r>
      <w:r>
        <w:t xml:space="preserve"> </w:t>
      </w:r>
      <w:r>
        <w:rPr>
          <w:iCs/>
          <w:i/>
        </w:rPr>
        <w:t xml:space="preserve">total</w:t>
      </w:r>
      <w:r>
        <w:t xml:space="preserve"> </w:t>
      </w:r>
      <w:r>
        <w:t xml:space="preserve">option-information contribution — B0 to B2, dominated by</w:t>
      </w:r>
      <w:r>
        <w:t xml:space="preserve"> </w:t>
      </w:r>
      <w:r>
        <w:t xml:space="preserve">option state — the picture inverts. On the 2024 blocks the total is significantly</w:t>
      </w:r>
      <w:r>
        <w:t xml:space="preserve"> </w:t>
      </w:r>
      <w:r>
        <w:t xml:space="preserve">positive in five of five model families (up to +0.086 for B0→B1a under HAR-RV) and</w:t>
      </w:r>
      <w:r>
        <w:t xml:space="preserve"> </w:t>
      </w:r>
      <w:r>
        <w:t xml:space="preserve">four of five on the second block. Under one uniform ladder run identically over the</w:t>
      </w:r>
      <w:r>
        <w:t xml:space="preserve"> </w:t>
      </w:r>
      <w:r>
        <w:t xml:space="preserve">four era panels, the total is positive in both genuinely independent families</w:t>
      </w:r>
      <w:r>
        <w:t xml:space="preserve"> </w:t>
      </w:r>
      <w:r>
        <w:t xml:space="preserve">(smooth-linear and gradient-boosted tree; a same-day review recorded that the ridge</w:t>
      </w:r>
      <w:r>
        <w:t xml:space="preserve"> </w:t>
      </w:r>
      <w:r>
        <w:t xml:space="preserve">variant duplicates the smooth family and does not count separately) in both 2025 eras:</w:t>
      </w:r>
      <w:r>
        <w:t xml:space="preserve"> </w:t>
      </w:r>
      <w:r>
        <w:t xml:space="preserve">+0.015/+0.013 in 2025H1 and +0.010/+0.021 in 2025H2–2026Q1 (wild p down to 4e−10, one</w:t>
      </w:r>
      <w:r>
        <w:t xml:space="preserve"> </w:t>
      </w:r>
      <w:r>
        <w:t xml:space="preserve">hundred and sixty sessions), surviving HAR-augmented baselines in both families</w:t>
      </w:r>
      <w:r>
        <w:t xml:space="preserve"> </w:t>
      </w:r>
      <w:r>
        <w:t xml:space="preserve">(+0.057/+0.017 and +0.020/+0.009). The stated counter-sign: the late-2024 era under</w:t>
      </w:r>
      <w:r>
        <w:t xml:space="preserve"> </w:t>
      </w:r>
      <w:r>
        <w:t xml:space="preserve">the redesigned B1v3 feature set, where the option-state block subtracted value for</w:t>
      </w:r>
      <w:r>
        <w:t xml:space="preserve"> </w:t>
      </w:r>
      <w:r>
        <w:t xml:space="preserve">smooth families. By the 2026 development era the total fades to null-to-borderline,</w:t>
      </w:r>
      <w:r>
        <w:t xml:space="preserve"> </w:t>
      </w:r>
      <w:r>
        <w:t xml:space="preserve">and in the prospective holdout it is null.</w:t>
      </w:r>
    </w:p>
    <w:bookmarkEnd w:id="30"/>
    <w:bookmarkStart w:id="31" w:name="the-decay-is-measured-not-narrated"/>
    <w:p>
      <w:pPr>
        <w:pStyle w:val="Heading3"/>
      </w:pPr>
      <w:r>
        <w:t xml:space="preserve">5.6 The decay is measured, not narrated</w:t>
      </w:r>
    </w:p>
    <w:p>
      <w:pPr>
        <w:pStyle w:val="FirstParagraph"/>
      </w:pPr>
      <w:r>
        <w:t xml:space="preserve">Pooled daily differentials across all campaigns decline at −0.0277 per year for the</w:t>
      </w:r>
      <w:r>
        <w:t xml:space="preserve"> </w:t>
      </w:r>
      <w:r>
        <w:t xml:space="preserve">Gamma-specific increment (wild p 1e−04) while the tree-family series rises from</w:t>
      </w:r>
      <w:r>
        <w:t xml:space="preserve"> </w:t>
      </w:r>
      <w:r>
        <w:t xml:space="preserve">adverse toward zero at +0.0097 per year: the families converge to approximately</w:t>
      </w:r>
      <w:r>
        <w:t xml:space="preserve"> </w:t>
      </w:r>
      <w:r>
        <w:t xml:space="preserve">+0.005 at the Phase 8 window. The decay is not explained by regime composition (the</w:t>
      </w:r>
      <w:r>
        <w:t xml:space="preserve"> </w:t>
      </w:r>
      <w:r>
        <w:t xml:space="preserve">calmest window carries the largest effect; event-week removal strengthens two of</w:t>
      </w:r>
      <w:r>
        <w:t xml:space="preserve"> </w:t>
      </w:r>
      <w:r>
        <w:t xml:space="preserve">three contrasts), microstructure (AC(1) is at most |0.033| and the noise-robust</w:t>
      </w:r>
      <w:r>
        <w:t xml:space="preserve"> </w:t>
      </w:r>
      <w:r>
        <w:t xml:space="preserve">target changes nothing), selection, earnings proximity (the effect anti-concentrates</w:t>
      </w:r>
      <w:r>
        <w:t xml:space="preserve"> </w:t>
      </w:r>
      <w:r>
        <w:t xml:space="preserve">around earnings), any single feature group, or horizon structure (flat across</w:t>
      </w:r>
      <w:r>
        <w:t xml:space="preserve"> </w:t>
      </w:r>
      <w:r>
        <w:t xml:space="preserve">RV15/RV30/RV60). Market-change versus provider-change remains honestly open.</w:t>
      </w:r>
    </w:p>
    <w:bookmarkEnd w:id="31"/>
    <w:bookmarkEnd w:id="32"/>
    <w:bookmarkStart w:id="33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Three statements survive every probe. First, option-market information was real for</w:t>
      </w:r>
      <w:r>
        <w:t xml:space="preserve"> </w:t>
      </w:r>
      <w:r>
        <w:t xml:space="preserve">intraday variance prediction: model-robust in total, concentrated in option state,</w:t>
      </w:r>
      <w:r>
        <w:t xml:space="preserve"> </w:t>
      </w:r>
      <w:r>
        <w:t xml:space="preserve">economically modest, and present across two years of samples from three independent</w:t>
      </w:r>
      <w:r>
        <w:t xml:space="preserve"> </w:t>
      </w:r>
      <w:r>
        <w:t xml:space="preserve">acquisition paths. Second, it was never the activity edge the project set out to</w:t>
      </w:r>
      <w:r>
        <w:t xml:space="preserve"> </w:t>
      </w:r>
      <w:r>
        <w:t xml:space="preserve">find: the B2 increment fails every usability test, and its statistically strongest</w:t>
      </w:r>
      <w:r>
        <w:t xml:space="preserve"> </w:t>
      </w:r>
      <w:r>
        <w:t xml:space="preserve">appearances are exactly where Patton’s calibration critique predicts mirages. Third,</w:t>
      </w:r>
      <w:r>
        <w:t xml:space="preserve"> </w:t>
      </w:r>
      <w:r>
        <w:t xml:space="preserve">whatever produced the 2024–2025 informativeness faded on a measured trajectory to</w:t>
      </w:r>
      <w:r>
        <w:t xml:space="preserve"> </w:t>
      </w:r>
      <w:r>
        <w:t xml:space="preserve">zero by 2026 — a finding with its own value, since time-varying informativeness is</w:t>
      </w:r>
      <w:r>
        <w:t xml:space="preserve"> </w:t>
      </w:r>
      <w:r>
        <w:t xml:space="preserve">invisible to single-window studies and is precisely what strict PIT discipline</w:t>
      </w:r>
      <w:r>
        <w:t xml:space="preserve"> </w:t>
      </w:r>
      <w:r>
        <w:t xml:space="preserve">exists to detect honestly.</w:t>
      </w:r>
    </w:p>
    <w:p>
      <w:pPr>
        <w:pStyle w:val="BodyText"/>
      </w:pPr>
      <w:r>
        <w:t xml:space="preserve">The two-sided design of the closing read deserves emphasis. Because the equivalence</w:t>
      </w:r>
      <w:r>
        <w:t xml:space="preserve"> </w:t>
      </w:r>
      <w:r>
        <w:t xml:space="preserve">bound, ex-ante predictions, and the precommitment for the underpowered branch were</w:t>
      </w:r>
      <w:r>
        <w:t xml:space="preserve"> </w:t>
      </w:r>
      <w:r>
        <w:t xml:space="preserve">recorded before the data exist, the [PHASE8] outcome is informative whatever its</w:t>
      </w:r>
      <w:r>
        <w:t xml:space="preserve"> </w:t>
      </w:r>
      <w:r>
        <w:t xml:space="preserve">sign — the study cannot end in</w:t>
      </w:r>
      <w:r>
        <w:t xml:space="preserve"> </w:t>
      </w:r>
      <w:r>
        <w:t xml:space="preserve">“</w:t>
      </w:r>
      <w:r>
        <w:t xml:space="preserve">inconclusive</w:t>
      </w:r>
      <w:r>
        <w:t xml:space="preserve">”</w:t>
      </w:r>
      <w:r>
        <w:t xml:space="preserve">. A successor protocol (Phase 9,</w:t>
      </w:r>
      <w:r>
        <w:t xml:space="preserve"> </w:t>
      </w:r>
      <w:r>
        <w:t xml:space="preserve">decision 58, frozen and collecting) points the same machinery at the total-contribution</w:t>
      </w:r>
      <w:r>
        <w:t xml:space="preserve"> </w:t>
      </w:r>
      <w:r>
        <w:t xml:space="preserve">estimand where the exploratory evidence is strongest. [PHASE9-NOTE at submission.]</w:t>
      </w:r>
    </w:p>
    <w:bookmarkEnd w:id="33"/>
    <w:bookmarkStart w:id="34" w:name="threats-to-validity"/>
    <w:p>
      <w:pPr>
        <w:pStyle w:val="Heading2"/>
      </w:pPr>
      <w:r>
        <w:t xml:space="preserve">7. Threats to validity</w:t>
      </w:r>
    </w:p>
    <w:p>
      <w:pPr>
        <w:pStyle w:val="FirstParagraph"/>
      </w:pPr>
      <w:r>
        <w:t xml:space="preserve">Fourteen named threats, each with evidence, mitigation, and residual, are maintained</w:t>
      </w:r>
      <w:r>
        <w:t xml:space="preserve"> </w:t>
      </w:r>
      <w:r>
        <w:t xml:space="preserve">in the threats matrix; the report inherits them wholesale rather than curating the</w:t>
      </w:r>
      <w:r>
        <w:t xml:space="preserve"> </w:t>
      </w:r>
      <w:r>
        <w:t xml:space="preserve">comfortable ones. Retired: bar-label semantics (measured, two providers, tripwire);</w:t>
      </w:r>
      <w:r>
        <w:t xml:space="preserve"> </w:t>
      </w:r>
      <w:r>
        <w:t xml:space="preserve">microstructure proxy error (bounded at an order of magnitude below the effects);</w:t>
      </w:r>
      <w:r>
        <w:t xml:space="preserve"> </w:t>
      </w:r>
      <w:r>
        <w:t xml:space="preserve">saturated inference (replaced throughout). Bounded: forking paths (enumerated,</w:t>
      </w:r>
      <w:r>
        <w:t xml:space="preserve"> </w:t>
      </w:r>
      <w:r>
        <w:t xml:space="preserve">moratorium, global Holm as a conservative bound — with the honest caveat that no</w:t>
      </w:r>
      <w:r>
        <w:t xml:space="preserve"> </w:t>
      </w:r>
      <w:r>
        <w:t xml:space="preserve">retrospective correction is exact); calibration attribution (sample-dependent, with</w:t>
      </w:r>
      <w:r>
        <w:t xml:space="preserve"> </w:t>
      </w:r>
      <w:r>
        <w:t xml:space="preserve">the bias-covariance channel quantified); selection (negligible on the binding sample,</w:t>
      </w:r>
      <w:r>
        <w:t xml:space="preserve"> </w:t>
      </w:r>
      <w:r>
        <w:t xml:space="preserve">one deferred replication). Permanent and stated: the historical tapes’</w:t>
      </w:r>
      <w:r>
        <w:t xml:space="preserve"> </w:t>
      </w:r>
      <w:r>
        <w:t xml:space="preserve">availability assumption; the six-asset mega-cap universe; the era-boundedness with</w:t>
      </w:r>
      <w:r>
        <w:t xml:space="preserve"> </w:t>
      </w:r>
      <w:r>
        <w:t xml:space="preserve">uncharacterised cause; and the single-machine custody of the prospective stores, an</w:t>
      </w:r>
      <w:r>
        <w:t xml:space="preserve"> </w:t>
      </w:r>
      <w:r>
        <w:t xml:space="preserve">accepted risk recorded by owner decision.</w:t>
      </w:r>
    </w:p>
    <w:bookmarkEnd w:id="34"/>
    <w:bookmarkStart w:id="35" w:name="conclusion-and-contribution"/>
    <w:p>
      <w:pPr>
        <w:pStyle w:val="Heading2"/>
      </w:pPr>
      <w:r>
        <w:t xml:space="preserve">8. Conclusion and contribution</w:t>
      </w:r>
    </w:p>
    <w:p>
      <w:pPr>
        <w:pStyle w:val="FirstParagraph"/>
      </w:pPr>
      <w:r>
        <w:t xml:space="preserve">Does point-in-time options information improve out-of-sample RV30 forecasts? For the</w:t>
      </w:r>
      <w:r>
        <w:t xml:space="preserve"> </w:t>
      </w:r>
      <w:r>
        <w:t xml:space="preserve">activity increment the answer is no — prospectively null, family-dependent in</w:t>
      </w:r>
      <w:r>
        <w:t xml:space="preserve"> </w:t>
      </w:r>
      <w:r>
        <w:t xml:space="preserve">retrospect, and rejected by every usability probe. For option information in total</w:t>
      </w:r>
      <w:r>
        <w:t xml:space="preserve"> </w:t>
      </w:r>
      <w:r>
        <w:t xml:space="preserve">the answer is: it did, robustly across model families, through 2024 and 2025; it</w:t>
      </w:r>
      <w:r>
        <w:t xml:space="preserve"> </w:t>
      </w:r>
      <w:r>
        <w:t xml:space="preserve">faded measurably to zero; and the closing prospective read adjudicates the endpoint</w:t>
      </w:r>
      <w:r>
        <w:t xml:space="preserve"> </w:t>
      </w:r>
      <w:r>
        <w:t xml:space="preserve">under rules fixed in advance. Four contributions: (1) a preregistered prospective</w:t>
      </w:r>
      <w:r>
        <w:t xml:space="preserve"> </w:t>
      </w:r>
      <w:r>
        <w:t xml:space="preserve">null, and a second equivalence-armed read, at an intraday horizon under strict PIT</w:t>
      </w:r>
      <w:r>
        <w:t xml:space="preserve"> </w:t>
      </w:r>
      <w:r>
        <w:t xml:space="preserve">discipline; (2) a scope refinement of implied-volatility informativeness at the</w:t>
      </w:r>
      <w:r>
        <w:t xml:space="preserve"> </w:t>
      </w:r>
      <w:r>
        <w:t xml:space="preserve">thirty-minute horizon under rich intraday controls; (3) a field demonstration,</w:t>
      </w:r>
      <w:r>
        <w:t xml:space="preserve"> </w:t>
      </w:r>
      <w:r>
        <w:t xml:space="preserve">quantified, of Patton’s calibration critique — a robust-looking edge living inside a</w:t>
      </w:r>
      <w:r>
        <w:t xml:space="preserve"> </w:t>
      </w:r>
      <w:r>
        <w:t xml:space="preserve">miscalibrated family; and (4) reusable infrastructure: measured availability</w:t>
      </w:r>
      <w:r>
        <w:t xml:space="preserve"> </w:t>
      </w:r>
      <w:r>
        <w:t xml:space="preserve">semantics with standing tripwires, hash-sealed one-read governance, and studentized</w:t>
      </w:r>
      <w:r>
        <w:t xml:space="preserve"> </w:t>
      </w:r>
      <w:r>
        <w:t xml:space="preserve">day-clustered inference for paired forecast evaluation.</w:t>
      </w:r>
    </w:p>
    <w:bookmarkEnd w:id="35"/>
    <w:bookmarkStart w:id="36" w:name="ethics-and-reproducibility-d003-wording"/>
    <w:p>
      <w:pPr>
        <w:pStyle w:val="Heading2"/>
      </w:pPr>
      <w:r>
        <w:t xml:space="preserve">9. Ethics and reproducibility — [D003 wording]</w:t>
      </w:r>
    </w:p>
    <w:p>
      <w:pPr>
        <w:pStyle w:val="FirstParagraph"/>
      </w:pPr>
      <w:r>
        <w:t xml:space="preserve">No human participants. Licensed raw data and credentials are never redistributed or</w:t>
      </w:r>
      <w:r>
        <w:t xml:space="preserve"> </w:t>
      </w:r>
      <w:r>
        <w:t xml:space="preserve">committed. Reproducibility for unlicensed examiners is provided as controlled</w:t>
      </w:r>
      <w:r>
        <w:t xml:space="preserve"> </w:t>
      </w:r>
      <w:r>
        <w:t xml:space="preserve">auditability: code, schemas, sanitised fixtures, SHA-256 manifests, access ledgers,</w:t>
      </w:r>
      <w:r>
        <w:t xml:space="preserve"> </w:t>
      </w:r>
      <w:r>
        <w:t xml:space="preserve">and aggregate outputs, under a locked Python 3.12 environment and a</w:t>
      </w:r>
      <w:r>
        <w:t xml:space="preserve"> </w:t>
      </w:r>
      <w:r>
        <w:t xml:space="preserve">thousand-test suite. Vendor labels are treated as observed events, never as trader</w:t>
      </w:r>
      <w:r>
        <w:t xml:space="preserve"> </w:t>
      </w:r>
      <w:r>
        <w:t xml:space="preserve">intent; no informed-trading, causal, or profitability claim is made anywhere in the</w:t>
      </w:r>
      <w:r>
        <w:t xml:space="preserve"> </w:t>
      </w:r>
      <w:r>
        <w:t xml:space="preserve">report.</w:t>
      </w:r>
    </w:p>
    <w:bookmarkEnd w:id="36"/>
    <w:bookmarkStart w:id="37" w:name="appendices"/>
    <w:p>
      <w:pPr>
        <w:pStyle w:val="Heading2"/>
      </w:pPr>
      <w:r>
        <w:t xml:space="preserve">Appendices</w:t>
      </w:r>
    </w:p>
    <w:p>
      <w:pPr>
        <w:pStyle w:val="FirstParagraph"/>
      </w:pPr>
      <w:r>
        <w:t xml:space="preserve">A. Campaign register and contrast tables (</w:t>
      </w:r>
      <w:r>
        <w:rPr>
          <w:rStyle w:val="VerbatimChar"/>
        </w:rPr>
        <w:t xml:space="preserve">docs/results_reconciliation_v2.md</w:t>
      </w:r>
      <w:r>
        <w:t xml:space="preserve">).</w:t>
      </w:r>
      <w:r>
        <w:t xml:space="preserve"> </w:t>
      </w:r>
      <w:r>
        <w:t xml:space="preserve">B. Studentized inference tables (</w:t>
      </w:r>
      <w:r>
        <w:rPr>
          <w:rStyle w:val="VerbatimChar"/>
        </w:rPr>
        <w:t xml:space="preserve">artifacts/gate1_inference/</w:t>
      </w:r>
      <w:r>
        <w:t xml:space="preserve">).</w:t>
      </w:r>
      <w:r>
        <w:t xml:space="preserve"> </w:t>
      </w:r>
      <w:r>
        <w:t xml:space="preserve">C. Gate reports 1–12 (</w:t>
      </w:r>
      <w:r>
        <w:rPr>
          <w:rStyle w:val="VerbatimChar"/>
        </w:rPr>
        <w:t xml:space="preserve">docs/INDEX.md</w:t>
      </w:r>
      <w:r>
        <w:t xml:space="preserve">).</w:t>
      </w:r>
      <w:r>
        <w:t xml:space="preserve"> </w:t>
      </w:r>
      <w:r>
        <w:t xml:space="preserve">D. Economic-significance tables (</w:t>
      </w:r>
      <w:r>
        <w:rPr>
          <w:rStyle w:val="VerbatimChar"/>
        </w:rPr>
        <w:t xml:space="preserve">artifacts/economic_significance/</w:t>
      </w:r>
      <w:r>
        <w:t xml:space="preserve">).</w:t>
      </w:r>
      <w:r>
        <w:t xml:space="preserve"> </w:t>
      </w:r>
      <w:r>
        <w:t xml:space="preserve">E. Preregistration and freeze hashes (artifact manifests; Phase 9 freeze</w:t>
      </w:r>
      <w:r>
        <w:t xml:space="preserve"> </w:t>
      </w:r>
      <w:r>
        <w:rPr>
          <w:rStyle w:val="VerbatimChar"/>
        </w:rPr>
        <w:t xml:space="preserve">artifacts/phase9/protocol_freeze.json</w:t>
      </w:r>
      <w:r>
        <w:t xml:space="preserve">).</w:t>
      </w:r>
      <w:r>
        <w:t xml:space="preserve"> </w:t>
      </w:r>
      <w:r>
        <w:t xml:space="preserve">F. Supervisor feedback mapping [D004: confirmed, or labelled</w:t>
      </w:r>
      <w:r>
        <w:t xml:space="preserve"> </w:t>
      </w:r>
      <w:r>
        <w:t xml:space="preserve">“</w:t>
      </w:r>
      <w:r>
        <w:t xml:space="preserve">unverified paraphrase</w:t>
      </w:r>
      <w:r>
        <w:t xml:space="preserve">”</w:t>
      </w:r>
      <w:r>
        <w:t xml:space="preserve">].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Point-in-time options information for forecasting next-30-minute realised variance</dc:title>
  <dc:creator/>
  <cp:keywords/>
  <dcterms:created xsi:type="dcterms:W3CDTF">2026-08-18T06:24:49Z</dcterms:created>
  <dcterms:modified xsi:type="dcterms:W3CDTF">2026-08-18T06:24:49Z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