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79437B" w14:textId="77777777" w:rsidR="00304499" w:rsidRPr="001D39FF" w:rsidRDefault="00304499" w:rsidP="00304499">
      <w:pPr>
        <w:spacing w:line="360" w:lineRule="auto"/>
        <w:rPr>
          <w:rFonts w:ascii="Times New Roman" w:hAnsi="Times New Roman" w:cs="Times New Roman"/>
          <w:lang w:val="es-ES"/>
        </w:rPr>
      </w:pPr>
    </w:p>
    <w:p w14:paraId="7EA264A5" w14:textId="36FC1064" w:rsidR="009112F4" w:rsidRDefault="009112F4" w:rsidP="00130E76">
      <w:pPr>
        <w:pStyle w:val="KeywordsText"/>
        <w:rPr>
          <w:sz w:val="20"/>
        </w:rPr>
      </w:pPr>
    </w:p>
    <w:p w14:paraId="4B0B4184" w14:textId="1C0567AD" w:rsidR="009112F4" w:rsidRDefault="009112F4" w:rsidP="009112F4">
      <w:pPr>
        <w:pStyle w:val="Cuerpo"/>
        <w:spacing w:line="360" w:lineRule="auto"/>
        <w:jc w:val="center"/>
        <w:rPr>
          <w:rStyle w:val="Ninguno"/>
          <w:rFonts w:cs="Times New Roman"/>
          <w:b/>
          <w:bCs/>
          <w:sz w:val="26"/>
          <w:szCs w:val="26"/>
        </w:rPr>
      </w:pPr>
      <w:bookmarkStart w:id="0" w:name="_Hlk48848173"/>
      <w:r>
        <w:rPr>
          <w:rStyle w:val="Ninguno"/>
          <w:b/>
          <w:bCs/>
          <w:sz w:val="26"/>
          <w:szCs w:val="26"/>
        </w:rPr>
        <w:t xml:space="preserve">Diseñar sin manos: </w:t>
      </w:r>
      <w:r>
        <w:rPr>
          <w:rStyle w:val="Ninguno"/>
          <w:b/>
          <w:bCs/>
          <w:sz w:val="26"/>
          <w:szCs w:val="26"/>
        </w:rPr>
        <w:br/>
        <w:t>habilidades para enfrentar la erosión de la materialidad en las prácticas del Diseño</w:t>
      </w:r>
      <w:bookmarkEnd w:id="0"/>
    </w:p>
    <w:p w14:paraId="09DD3A4D" w14:textId="16672B05" w:rsidR="009112F4" w:rsidRPr="00E67325" w:rsidRDefault="009112F4" w:rsidP="009112F4">
      <w:pPr>
        <w:pStyle w:val="Cuerpo"/>
        <w:spacing w:line="360" w:lineRule="auto"/>
        <w:jc w:val="center"/>
        <w:rPr>
          <w:rStyle w:val="Ninguno"/>
          <w:rFonts w:cs="Times New Roman"/>
          <w:b/>
          <w:bCs/>
          <w:sz w:val="26"/>
          <w:szCs w:val="26"/>
          <w:lang w:val="en-US"/>
        </w:rPr>
      </w:pPr>
      <w:r w:rsidRPr="00E67325">
        <w:rPr>
          <w:rStyle w:val="Ninguno"/>
          <w:b/>
          <w:bCs/>
          <w:sz w:val="26"/>
          <w:szCs w:val="26"/>
          <w:lang w:val="en-US"/>
        </w:rPr>
        <w:t>(</w:t>
      </w:r>
      <w:bookmarkStart w:id="1" w:name="_Hlk48850195"/>
      <w:r w:rsidRPr="009112F4">
        <w:rPr>
          <w:rStyle w:val="Ninguno"/>
          <w:b/>
          <w:bCs/>
          <w:sz w:val="26"/>
          <w:szCs w:val="26"/>
          <w:lang w:val="en-US"/>
        </w:rPr>
        <w:t xml:space="preserve">Hands-free Design: </w:t>
      </w:r>
      <w:r>
        <w:rPr>
          <w:rStyle w:val="Ninguno"/>
          <w:b/>
          <w:bCs/>
          <w:sz w:val="26"/>
          <w:szCs w:val="26"/>
          <w:lang w:val="en-US"/>
        </w:rPr>
        <w:br/>
      </w:r>
      <w:r w:rsidRPr="009112F4">
        <w:rPr>
          <w:rStyle w:val="Ninguno"/>
          <w:b/>
          <w:bCs/>
          <w:sz w:val="26"/>
          <w:szCs w:val="26"/>
          <w:lang w:val="en-US"/>
        </w:rPr>
        <w:t>skills to address the erosion of materialness in design practice</w:t>
      </w:r>
      <w:bookmarkEnd w:id="1"/>
      <w:r w:rsidRPr="00E67325">
        <w:rPr>
          <w:rStyle w:val="Ninguno"/>
          <w:b/>
          <w:bCs/>
          <w:sz w:val="26"/>
          <w:szCs w:val="26"/>
          <w:lang w:val="en-US"/>
        </w:rPr>
        <w:t>)</w:t>
      </w:r>
    </w:p>
    <w:p w14:paraId="388E42DE" w14:textId="77777777" w:rsidR="00E7195C" w:rsidRPr="00AC342B" w:rsidRDefault="00E7195C" w:rsidP="009112F4">
      <w:pPr>
        <w:pStyle w:val="AbstractStyle"/>
        <w:jc w:val="center"/>
        <w:rPr>
          <w:rStyle w:val="Ninguno"/>
          <w:sz w:val="20"/>
          <w:lang w:val="en-US"/>
        </w:rPr>
      </w:pPr>
    </w:p>
    <w:p w14:paraId="44A80CCC" w14:textId="77777777" w:rsidR="00E7195C" w:rsidRPr="00AC342B" w:rsidRDefault="00E7195C" w:rsidP="009112F4">
      <w:pPr>
        <w:pStyle w:val="AbstractStyle"/>
        <w:jc w:val="center"/>
        <w:rPr>
          <w:rStyle w:val="Ninguno"/>
          <w:sz w:val="20"/>
          <w:lang w:val="en-US"/>
        </w:rPr>
      </w:pPr>
    </w:p>
    <w:p w14:paraId="700D10F3" w14:textId="77777777" w:rsidR="009112F4" w:rsidRDefault="009112F4" w:rsidP="009112F4">
      <w:pPr>
        <w:pStyle w:val="AbstractStyle"/>
        <w:jc w:val="center"/>
        <w:rPr>
          <w:rStyle w:val="Ninguno"/>
          <w:sz w:val="20"/>
        </w:rPr>
      </w:pPr>
      <w:r>
        <w:rPr>
          <w:rStyle w:val="Ninguno"/>
          <w:sz w:val="20"/>
        </w:rPr>
        <w:t xml:space="preserve">Resumen: </w:t>
      </w:r>
    </w:p>
    <w:p w14:paraId="4050316A" w14:textId="126F1338" w:rsidR="009112F4" w:rsidRDefault="009112F4" w:rsidP="009112F4">
      <w:pPr>
        <w:pStyle w:val="AbstractStyle"/>
        <w:jc w:val="center"/>
        <w:rPr>
          <w:rStyle w:val="Ninguno"/>
          <w:sz w:val="20"/>
        </w:rPr>
      </w:pPr>
      <w:r>
        <w:rPr>
          <w:rStyle w:val="Ninguno"/>
          <w:sz w:val="20"/>
        </w:rPr>
        <w:t xml:space="preserve">Esta ponencia presenta resultados de investigación sobre prácticas actuales del diseño, </w:t>
      </w:r>
      <w:r w:rsidR="00C8412F">
        <w:rPr>
          <w:rStyle w:val="Ninguno"/>
          <w:sz w:val="20"/>
        </w:rPr>
        <w:t xml:space="preserve">que </w:t>
      </w:r>
      <w:r>
        <w:rPr>
          <w:rStyle w:val="Ninguno"/>
          <w:sz w:val="20"/>
        </w:rPr>
        <w:t>están perdiendo su materialidad. Con esto nos referimos a que en vez de que el proceso de diseño genere como producto artefactos tangibles, como objetos, imágenes o espacios, se ha reconocido como valor su capacidad de dar resultados en forma de sistemas, estrategias y experiencias. Así, los discursos sobre el diseño que una vez debatían entre la forma y la función, entre proceso y producto, dejaron de ser dicotómicos para ahora enfocarse en aspectos multifactoriales, entretejidos y sistémicos. El objetivo principal de la investigación fue identificar práctica</w:t>
      </w:r>
      <w:r w:rsidR="00C8412F">
        <w:rPr>
          <w:rStyle w:val="Ninguno"/>
          <w:sz w:val="20"/>
        </w:rPr>
        <w:t>s del diseño para-disciplinares</w:t>
      </w:r>
      <w:r>
        <w:rPr>
          <w:rStyle w:val="Ninguno"/>
          <w:sz w:val="20"/>
        </w:rPr>
        <w:t xml:space="preserve"> que muestren un proceso de diseño no necesariamente direccionado al desarrollo de objetos, imágenes o espacios, </w:t>
      </w:r>
      <w:r w:rsidR="00C8412F">
        <w:rPr>
          <w:rStyle w:val="Ninguno"/>
          <w:sz w:val="20"/>
        </w:rPr>
        <w:t>para</w:t>
      </w:r>
      <w:r>
        <w:rPr>
          <w:rStyle w:val="Ninguno"/>
          <w:sz w:val="20"/>
        </w:rPr>
        <w:t xml:space="preserve"> revisar sus características particulares </w:t>
      </w:r>
      <w:r w:rsidR="00C8412F">
        <w:rPr>
          <w:rStyle w:val="Ninguno"/>
          <w:sz w:val="20"/>
        </w:rPr>
        <w:t>e</w:t>
      </w:r>
      <w:r>
        <w:rPr>
          <w:rStyle w:val="Ninguno"/>
          <w:sz w:val="20"/>
        </w:rPr>
        <w:t xml:space="preserve"> identificar planteamientos teóricos</w:t>
      </w:r>
      <w:r w:rsidR="00C8412F">
        <w:rPr>
          <w:rStyle w:val="Ninguno"/>
          <w:sz w:val="20"/>
        </w:rPr>
        <w:t xml:space="preserve">, prácticas, </w:t>
      </w:r>
      <w:r>
        <w:rPr>
          <w:rStyle w:val="Ninguno"/>
          <w:sz w:val="20"/>
        </w:rPr>
        <w:t xml:space="preserve">métodos y procesos, que han ocasionado la erosión de la materialidad en el diseño. El método de estudio fue principalmente documental, a partir de la revisión de artículos publicados en bases de datos, principalmente en revistas indexadas. Así, </w:t>
      </w:r>
      <w:r w:rsidR="00C8412F">
        <w:rPr>
          <w:rStyle w:val="Ninguno"/>
          <w:sz w:val="20"/>
        </w:rPr>
        <w:t>se revisaron</w:t>
      </w:r>
      <w:r>
        <w:rPr>
          <w:rStyle w:val="Ninguno"/>
          <w:sz w:val="20"/>
        </w:rPr>
        <w:t xml:space="preserve"> prácticas </w:t>
      </w:r>
      <w:r w:rsidR="00C8412F">
        <w:rPr>
          <w:rStyle w:val="Ninguno"/>
          <w:sz w:val="20"/>
        </w:rPr>
        <w:t>como</w:t>
      </w:r>
      <w:r>
        <w:rPr>
          <w:rStyle w:val="Ninguno"/>
          <w:sz w:val="20"/>
        </w:rPr>
        <w:t xml:space="preserve"> slow design, diseño estratégico, el diseño transicional, el diseño integral, el diseño de interacción, diseño de servicios, el diseño de experiencias, y el diseño sustentable. Los principales hallazgos identifican cuatro aspectos en los que la materialidad se ha erosionado: los problemas, los procesos, los participantes y los productos. Finalmente, el título “Diseñar Sin Manos” responde a otro hallazgo entorno al perfil del diseñador: que las habilidades necesarias para el desempeño profesional en las prácticas periféricas a las disciplinas no responden al dominio de una técnica y destreza manual, sino más bien a la adquisición de habilidades cognitivas. En otras palabras, diseñar sin manos se refiere a que la mayor parte del proceso de diseño se realiza </w:t>
      </w:r>
      <w:r w:rsidR="00C8412F">
        <w:rPr>
          <w:rStyle w:val="Ninguno"/>
          <w:sz w:val="20"/>
        </w:rPr>
        <w:t>mediante</w:t>
      </w:r>
      <w:r>
        <w:rPr>
          <w:rStyle w:val="Ninguno"/>
          <w:sz w:val="20"/>
        </w:rPr>
        <w:t xml:space="preserve"> actividades que dependen de la capacidad de participar y proponer ideas, integrar y mejorar métodos y procesos, comprender contextos y problemas complejos y hasta promover, participar y dirigir procesos de colaboración y co-creación</w:t>
      </w:r>
      <w:r w:rsidR="00C8412F">
        <w:rPr>
          <w:rStyle w:val="Ninguno"/>
          <w:sz w:val="20"/>
        </w:rPr>
        <w:t>.</w:t>
      </w:r>
      <w:r>
        <w:rPr>
          <w:rStyle w:val="Ninguno"/>
          <w:sz w:val="20"/>
        </w:rPr>
        <w:t xml:space="preserve"> </w:t>
      </w:r>
      <w:r w:rsidR="00C8412F">
        <w:rPr>
          <w:rStyle w:val="Ninguno"/>
          <w:sz w:val="20"/>
        </w:rPr>
        <w:t>Al final</w:t>
      </w:r>
      <w:r>
        <w:rPr>
          <w:rStyle w:val="Ninguno"/>
          <w:sz w:val="20"/>
        </w:rPr>
        <w:t xml:space="preserve"> algunos cuestionamientos</w:t>
      </w:r>
      <w:r w:rsidR="00C8412F">
        <w:rPr>
          <w:rStyle w:val="Ninguno"/>
          <w:sz w:val="20"/>
        </w:rPr>
        <w:t xml:space="preserve"> buscan</w:t>
      </w:r>
      <w:r>
        <w:rPr>
          <w:rStyle w:val="Ninguno"/>
          <w:sz w:val="20"/>
        </w:rPr>
        <w:t xml:space="preserve"> motiva</w:t>
      </w:r>
      <w:r w:rsidR="00C8412F">
        <w:rPr>
          <w:rStyle w:val="Ninguno"/>
          <w:sz w:val="20"/>
        </w:rPr>
        <w:t>r</w:t>
      </w:r>
      <w:r>
        <w:rPr>
          <w:rStyle w:val="Ninguno"/>
          <w:sz w:val="20"/>
        </w:rPr>
        <w:t xml:space="preserve"> la reflexión, abrir el debate, </w:t>
      </w:r>
      <w:r w:rsidR="00C8412F">
        <w:rPr>
          <w:rStyle w:val="Ninguno"/>
          <w:sz w:val="20"/>
        </w:rPr>
        <w:t>y</w:t>
      </w:r>
      <w:r>
        <w:rPr>
          <w:rStyle w:val="Ninguno"/>
          <w:sz w:val="20"/>
        </w:rPr>
        <w:t xml:space="preserve"> preguntarse si </w:t>
      </w:r>
      <w:r w:rsidR="00C8412F">
        <w:rPr>
          <w:rStyle w:val="Ninguno"/>
          <w:sz w:val="20"/>
        </w:rPr>
        <w:t>existe</w:t>
      </w:r>
      <w:r>
        <w:rPr>
          <w:rStyle w:val="Ninguno"/>
          <w:sz w:val="20"/>
        </w:rPr>
        <w:t xml:space="preserve"> la necesidad de formar nuevos perfiles de diseñadores</w:t>
      </w:r>
      <w:r w:rsidR="00C8412F">
        <w:rPr>
          <w:rStyle w:val="Ninguno"/>
          <w:sz w:val="20"/>
        </w:rPr>
        <w:t>.</w:t>
      </w:r>
      <w:r>
        <w:rPr>
          <w:rStyle w:val="Ninguno"/>
          <w:sz w:val="20"/>
        </w:rPr>
        <w:t xml:space="preserve"> </w:t>
      </w:r>
      <w:r w:rsidR="00C8412F">
        <w:rPr>
          <w:rStyle w:val="Ninguno"/>
          <w:sz w:val="20"/>
        </w:rPr>
        <w:t>C</w:t>
      </w:r>
      <w:r>
        <w:rPr>
          <w:rStyle w:val="Ninguno"/>
          <w:sz w:val="20"/>
        </w:rPr>
        <w:t>abe reflexionar sobre la relación mano-diseño, en lugar de la relación mente-diseño, pues, aunque se ha insistido en fundamentar el proceso de diseño en las distintas disciplinas, los resultados del mismos suelen mostrar claramente un énfasis en artefactos tangibles cuya calidad depende de la destreza manual del diseñador y no necesariamente la cognitiva. Estos son fundamentales para el desarrollo de la disciplina, la cual podría comenzar desde las instituciones educativas revisando los énfasis que en éstas se da a través de la concepción de materias, talleres y seminarios, así como las horas destinadas a cada uno de los mismos, para iniciar una búsqueda por formar diseñadores capaces de hacer frente a los problemas complejos a los que actualmente nos enfrentamos como sociedad.</w:t>
      </w:r>
    </w:p>
    <w:p w14:paraId="7981F96A" w14:textId="77777777" w:rsidR="009112F4" w:rsidRDefault="009112F4" w:rsidP="009112F4">
      <w:pPr>
        <w:pStyle w:val="AbstractStyle"/>
        <w:jc w:val="center"/>
        <w:rPr>
          <w:rStyle w:val="Ninguno"/>
          <w:sz w:val="20"/>
        </w:rPr>
      </w:pPr>
    </w:p>
    <w:p w14:paraId="62CE5EF2" w14:textId="2F81B8EB" w:rsidR="009112F4" w:rsidRDefault="009112F4" w:rsidP="009112F4">
      <w:pPr>
        <w:pStyle w:val="KeywordsText"/>
        <w:rPr>
          <w:rStyle w:val="Ninguno"/>
          <w:sz w:val="20"/>
        </w:rPr>
      </w:pPr>
      <w:r>
        <w:rPr>
          <w:rStyle w:val="Ninguno"/>
          <w:sz w:val="20"/>
        </w:rPr>
        <w:t>Palabras clave: Habilidades, materialidad, prácticas, tendencias.</w:t>
      </w:r>
    </w:p>
    <w:p w14:paraId="221D5BCF" w14:textId="77777777" w:rsidR="009112F4" w:rsidRDefault="009112F4" w:rsidP="009112F4">
      <w:pPr>
        <w:pStyle w:val="KeywordsText"/>
        <w:rPr>
          <w:rStyle w:val="Ninguno"/>
          <w:sz w:val="20"/>
        </w:rPr>
      </w:pPr>
    </w:p>
    <w:p w14:paraId="5B57CB45" w14:textId="77777777" w:rsidR="009112F4" w:rsidRPr="00E67325" w:rsidRDefault="009112F4" w:rsidP="009112F4">
      <w:pPr>
        <w:pStyle w:val="AbstractStyle"/>
        <w:jc w:val="center"/>
        <w:rPr>
          <w:rStyle w:val="Ninguno"/>
          <w:sz w:val="20"/>
          <w:lang w:val="en-US"/>
        </w:rPr>
      </w:pPr>
      <w:r w:rsidRPr="009112F4">
        <w:rPr>
          <w:rStyle w:val="Ninguno"/>
          <w:sz w:val="20"/>
          <w:lang w:val="en-US"/>
        </w:rPr>
        <w:t xml:space="preserve">Abstract: </w:t>
      </w:r>
    </w:p>
    <w:p w14:paraId="521E0350" w14:textId="45D98437" w:rsidR="009112F4" w:rsidRPr="00E67325" w:rsidRDefault="009112F4" w:rsidP="009112F4">
      <w:pPr>
        <w:pStyle w:val="AbstractStyle"/>
        <w:jc w:val="center"/>
        <w:rPr>
          <w:rStyle w:val="Ninguno"/>
          <w:sz w:val="20"/>
          <w:lang w:val="en-US"/>
        </w:rPr>
      </w:pPr>
      <w:r w:rsidRPr="009112F4">
        <w:rPr>
          <w:rStyle w:val="Ninguno"/>
          <w:sz w:val="20"/>
          <w:lang w:val="en-US"/>
        </w:rPr>
        <w:t xml:space="preserve">This paper presents research results of today’s design practices, </w:t>
      </w:r>
      <w:r w:rsidR="00C8412F">
        <w:rPr>
          <w:rStyle w:val="Ninguno"/>
          <w:sz w:val="20"/>
          <w:lang w:val="en-US"/>
        </w:rPr>
        <w:t>that</w:t>
      </w:r>
      <w:r w:rsidRPr="009112F4">
        <w:rPr>
          <w:rStyle w:val="Ninguno"/>
          <w:sz w:val="20"/>
          <w:lang w:val="en-US"/>
        </w:rPr>
        <w:t xml:space="preserve"> have been losing its materialness. In other words, instead of focusing on producing tangible artifacts such as objects, images, or spaces, the design process has recognized its value to produce results shaped as strategies, experiences, and systems. Thus, the design discourses that once debated between shape and function, process and product, stopped being dichotomic and began focusing on aspects that are multifactorial, intertwined, and systemic. The main goal of this research was identifying para-disciplinary design practices, that show a process not necessarily directed to developing objects, images or spaces so that we could review its main characteristics and identify the theoretical backgrounds, practices, methods, and processes, that have caused the erosion of materialness in design. The resea</w:t>
      </w:r>
      <w:r w:rsidR="00C8412F">
        <w:rPr>
          <w:rStyle w:val="Ninguno"/>
          <w:sz w:val="20"/>
          <w:lang w:val="en-US"/>
        </w:rPr>
        <w:t>rch was based upon documentary materials</w:t>
      </w:r>
      <w:r w:rsidRPr="009112F4">
        <w:rPr>
          <w:rStyle w:val="Ninguno"/>
          <w:sz w:val="20"/>
          <w:lang w:val="en-US"/>
        </w:rPr>
        <w:t>, reviewing published articles mainly in indexed journals through the consultation of databases</w:t>
      </w:r>
      <w:r w:rsidR="008922BB">
        <w:rPr>
          <w:rStyle w:val="Ninguno"/>
          <w:sz w:val="20"/>
          <w:lang w:val="en-US"/>
        </w:rPr>
        <w:t>.</w:t>
      </w:r>
      <w:r w:rsidRPr="009112F4">
        <w:rPr>
          <w:rStyle w:val="Ninguno"/>
          <w:sz w:val="20"/>
          <w:lang w:val="en-US"/>
        </w:rPr>
        <w:t xml:space="preserve"> </w:t>
      </w:r>
      <w:r w:rsidR="008922BB">
        <w:rPr>
          <w:rStyle w:val="Ninguno"/>
          <w:sz w:val="20"/>
          <w:lang w:val="en-US"/>
        </w:rPr>
        <w:t>Within</w:t>
      </w:r>
      <w:r w:rsidRPr="009112F4">
        <w:rPr>
          <w:rStyle w:val="Ninguno"/>
          <w:sz w:val="20"/>
          <w:lang w:val="en-US"/>
        </w:rPr>
        <w:t xml:space="preserve"> para-disciplinary practices there are slow design, strategic design, transitional design, interaction design, integral design, experience design, and sustainable design. The main findings identify four aspects in which the erosion of materialness is visible: problems, processes, people, and products. Finally, the title “Hands-free Design” refers to another finding: that the necessary abilities to perform professionally in peripheral practices do not depend on the dominium of a hand-crafting technique, but to the acquisition of cognitive abilities. In other words, hands-free design means that the central part of the design process is done through activities that depend on capabilities such as participating and proposing ideas; integrating and upgrading methods and processes; comprehending complex problems and contexts; and even promoting, participating and directing co-creation and collaboration processes. This paper ends with several inquiries to promote reflection and debate, asking if we are before the need to train new design profiles or at least different to those in which educational institutions have insisted upon. </w:t>
      </w:r>
      <w:r w:rsidR="008922BB">
        <w:rPr>
          <w:rStyle w:val="Ninguno"/>
          <w:sz w:val="20"/>
          <w:lang w:val="en-US"/>
        </w:rPr>
        <w:t>I</w:t>
      </w:r>
      <w:r w:rsidRPr="009112F4">
        <w:rPr>
          <w:rStyle w:val="Ninguno"/>
          <w:sz w:val="20"/>
          <w:lang w:val="en-US"/>
        </w:rPr>
        <w:t xml:space="preserve">t is necessary to think about the mind-design relation instead of the hand-design relation, because, even though the practice has insisted in documenting and clarifying the design process, usually its results show emphasis on tangible artifacts which quality depend on the hand-crafting skills of the designers and not necessarily the cognitive ones. </w:t>
      </w:r>
      <w:r w:rsidR="008922BB">
        <w:rPr>
          <w:rStyle w:val="Ninguno"/>
          <w:sz w:val="20"/>
          <w:lang w:val="en-US"/>
        </w:rPr>
        <w:t>T</w:t>
      </w:r>
      <w:r w:rsidRPr="009112F4">
        <w:rPr>
          <w:rStyle w:val="Ninguno"/>
          <w:sz w:val="20"/>
          <w:lang w:val="en-US"/>
        </w:rPr>
        <w:t>hese inquiries are fundamental to the evolution of design, which could begin at the core of design education, reviewing the emphasis on courses, workshops and seminars, and the total hours that the educational program sets for each activity, so that we can begin a search for ways to train designers capable in responding to the complex problems of today’s society.</w:t>
      </w:r>
    </w:p>
    <w:p w14:paraId="6471E775" w14:textId="77777777" w:rsidR="009112F4" w:rsidRPr="00E67325" w:rsidRDefault="009112F4" w:rsidP="009112F4">
      <w:pPr>
        <w:pStyle w:val="KeywordsText"/>
        <w:rPr>
          <w:rStyle w:val="Ninguno"/>
          <w:sz w:val="20"/>
          <w:lang w:val="en-US"/>
        </w:rPr>
      </w:pPr>
    </w:p>
    <w:p w14:paraId="00C953B7" w14:textId="62F48032" w:rsidR="009112F4" w:rsidRPr="00E67325" w:rsidRDefault="009112F4" w:rsidP="009112F4">
      <w:pPr>
        <w:pStyle w:val="KeywordsText"/>
        <w:rPr>
          <w:rStyle w:val="Ninguno"/>
          <w:sz w:val="20"/>
          <w:lang w:val="en-US"/>
        </w:rPr>
      </w:pPr>
      <w:r w:rsidRPr="009112F4">
        <w:rPr>
          <w:rStyle w:val="Ninguno"/>
          <w:rFonts w:eastAsia="Arial Unicode MS" w:cs="Arial Unicode MS"/>
          <w:sz w:val="20"/>
          <w:lang w:val="en-US"/>
        </w:rPr>
        <w:t xml:space="preserve">Keywords: Skills, materialness, design practice, </w:t>
      </w:r>
      <w:r>
        <w:rPr>
          <w:rStyle w:val="Ninguno"/>
          <w:rFonts w:eastAsia="Arial Unicode MS" w:cs="Arial Unicode MS"/>
          <w:sz w:val="20"/>
          <w:lang w:val="en-US"/>
        </w:rPr>
        <w:t xml:space="preserve">design </w:t>
      </w:r>
      <w:r w:rsidRPr="009112F4">
        <w:rPr>
          <w:rStyle w:val="Ninguno"/>
          <w:rFonts w:eastAsia="Arial Unicode MS" w:cs="Arial Unicode MS"/>
          <w:sz w:val="20"/>
          <w:lang w:val="en-US"/>
        </w:rPr>
        <w:t>trends.</w:t>
      </w:r>
    </w:p>
    <w:p w14:paraId="7F0DAF4E" w14:textId="77777777" w:rsidR="009112F4" w:rsidRPr="004819B1" w:rsidRDefault="009112F4" w:rsidP="00130E76">
      <w:pPr>
        <w:pStyle w:val="KeywordsText"/>
        <w:rPr>
          <w:sz w:val="20"/>
        </w:rPr>
      </w:pPr>
    </w:p>
    <w:p w14:paraId="52657364" w14:textId="77777777" w:rsidR="00304499" w:rsidRPr="004819B1" w:rsidRDefault="00304499" w:rsidP="00130E76">
      <w:pPr>
        <w:pStyle w:val="KeywordsText"/>
        <w:rPr>
          <w:sz w:val="20"/>
        </w:rPr>
      </w:pPr>
    </w:p>
    <w:p w14:paraId="1DEC0D49" w14:textId="77777777" w:rsidR="00304499" w:rsidRPr="004819B1" w:rsidRDefault="00304499" w:rsidP="00130E76">
      <w:pPr>
        <w:spacing w:line="360" w:lineRule="auto"/>
        <w:rPr>
          <w:rFonts w:ascii="Times New Roman" w:hAnsi="Times New Roman" w:cs="Times New Roman"/>
          <w:b/>
          <w:i/>
          <w:sz w:val="20"/>
          <w:szCs w:val="20"/>
          <w:lang w:val="en-US"/>
        </w:rPr>
      </w:pPr>
    </w:p>
    <w:p w14:paraId="1C522C52" w14:textId="77777777" w:rsidR="004819B1" w:rsidRPr="004819B1" w:rsidRDefault="004819B1" w:rsidP="004819B1">
      <w:pPr>
        <w:spacing w:line="360" w:lineRule="auto"/>
        <w:rPr>
          <w:rFonts w:ascii="Times New Roman" w:hAnsi="Times New Roman" w:cs="Times New Roman"/>
          <w:b/>
          <w:bCs/>
          <w:lang w:val="es-ES_tradnl"/>
        </w:rPr>
      </w:pPr>
      <w:r w:rsidRPr="004819B1">
        <w:rPr>
          <w:rFonts w:ascii="Times New Roman" w:hAnsi="Times New Roman" w:cs="Times New Roman"/>
          <w:b/>
          <w:bCs/>
          <w:lang w:val="es-ES_tradnl"/>
        </w:rPr>
        <w:t>1. Introducción: Diseñar con D mayúscula</w:t>
      </w:r>
    </w:p>
    <w:p w14:paraId="177B0914" w14:textId="2D91A350"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Diseño, es una </w:t>
      </w:r>
      <w:commentRangeStart w:id="2"/>
      <w:r w:rsidRPr="004819B1">
        <w:rPr>
          <w:rFonts w:ascii="Times New Roman" w:hAnsi="Times New Roman" w:cs="Times New Roman"/>
          <w:bCs/>
          <w:lang w:val="es-ES_tradnl"/>
        </w:rPr>
        <w:t>palabra</w:t>
      </w:r>
      <w:commentRangeEnd w:id="2"/>
      <w:r w:rsidR="00A50552">
        <w:rPr>
          <w:rStyle w:val="Refdecomentario"/>
        </w:rPr>
        <w:commentReference w:id="2"/>
      </w:r>
      <w:r w:rsidRPr="004819B1">
        <w:rPr>
          <w:rFonts w:ascii="Times New Roman" w:hAnsi="Times New Roman" w:cs="Times New Roman"/>
          <w:bCs/>
          <w:lang w:val="es-ES_tradnl"/>
        </w:rPr>
        <w:t xml:space="preserve"> que se ha vuelto cada vez más difícil de definir. </w:t>
      </w:r>
      <w:r w:rsidR="0034707D">
        <w:rPr>
          <w:rFonts w:ascii="Times New Roman" w:hAnsi="Times New Roman" w:cs="Times New Roman"/>
          <w:bCs/>
          <w:lang w:val="es-ES_tradnl"/>
        </w:rPr>
        <w:t xml:space="preserve">Al </w:t>
      </w:r>
      <w:r w:rsidRPr="004819B1">
        <w:rPr>
          <w:rFonts w:ascii="Times New Roman" w:hAnsi="Times New Roman" w:cs="Times New Roman"/>
          <w:bCs/>
          <w:lang w:val="es-ES_tradnl"/>
        </w:rPr>
        <w:t>inicio</w:t>
      </w:r>
      <w:r w:rsidR="0034707D">
        <w:rPr>
          <w:rFonts w:ascii="Times New Roman" w:hAnsi="Times New Roman" w:cs="Times New Roman"/>
          <w:bCs/>
          <w:lang w:val="es-ES_tradnl"/>
        </w:rPr>
        <w:t xml:space="preserve">, </w:t>
      </w:r>
      <w:r w:rsidRPr="004819B1">
        <w:rPr>
          <w:rFonts w:ascii="Times New Roman" w:hAnsi="Times New Roman" w:cs="Times New Roman"/>
          <w:bCs/>
          <w:lang w:val="es-ES_tradnl"/>
        </w:rPr>
        <w:t>el debate se centraba en la forma y la función</w:t>
      </w:r>
      <w:r w:rsidR="0034707D">
        <w:rPr>
          <w:rFonts w:ascii="Times New Roman" w:hAnsi="Times New Roman" w:cs="Times New Roman"/>
          <w:bCs/>
          <w:lang w:val="es-ES_tradnl"/>
        </w:rPr>
        <w:t>, lo que</w:t>
      </w:r>
      <w:r w:rsidRPr="004819B1">
        <w:rPr>
          <w:rFonts w:ascii="Times New Roman" w:hAnsi="Times New Roman" w:cs="Times New Roman"/>
          <w:bCs/>
          <w:lang w:val="es-ES_tradnl"/>
        </w:rPr>
        <w:t xml:space="preserve"> </w:t>
      </w:r>
      <w:r w:rsidR="0034707D">
        <w:rPr>
          <w:rFonts w:ascii="Times New Roman" w:hAnsi="Times New Roman" w:cs="Times New Roman"/>
          <w:bCs/>
          <w:lang w:val="es-ES_tradnl"/>
        </w:rPr>
        <w:t>permitía</w:t>
      </w:r>
      <w:r w:rsidRPr="004819B1">
        <w:rPr>
          <w:rFonts w:ascii="Times New Roman" w:hAnsi="Times New Roman" w:cs="Times New Roman"/>
          <w:bCs/>
          <w:lang w:val="es-ES_tradnl"/>
        </w:rPr>
        <w:t xml:space="preserve"> tener una idea más tangible de la palabra. Luego, </w:t>
      </w:r>
      <w:r w:rsidR="0034707D">
        <w:rPr>
          <w:rFonts w:ascii="Times New Roman" w:hAnsi="Times New Roman" w:cs="Times New Roman"/>
          <w:bCs/>
          <w:lang w:val="es-ES_tradnl"/>
        </w:rPr>
        <w:t>el énfasis cambió al proceso de diseño, proponiendo</w:t>
      </w:r>
      <w:r w:rsidRPr="004819B1">
        <w:rPr>
          <w:rFonts w:ascii="Times New Roman" w:hAnsi="Times New Roman" w:cs="Times New Roman"/>
          <w:bCs/>
          <w:lang w:val="es-ES_tradnl"/>
        </w:rPr>
        <w:t xml:space="preserve"> más de un método para diseñar y un sinnúmero de herramientas y técnicas (Kumar, 2013). </w:t>
      </w:r>
      <w:r w:rsidR="00715942">
        <w:rPr>
          <w:rFonts w:ascii="Times New Roman" w:hAnsi="Times New Roman" w:cs="Times New Roman"/>
          <w:bCs/>
          <w:lang w:val="es-ES_tradnl"/>
        </w:rPr>
        <w:t xml:space="preserve">Este enfoque permitió que la actividad de diseñar se expandiera </w:t>
      </w:r>
      <w:r w:rsidRPr="004819B1">
        <w:rPr>
          <w:rFonts w:ascii="Times New Roman" w:hAnsi="Times New Roman" w:cs="Times New Roman"/>
          <w:bCs/>
          <w:lang w:val="es-ES_tradnl"/>
        </w:rPr>
        <w:t xml:space="preserve">a nuevos campos. Así, no sólo el diseño ha transformado las disciplinas con las que entra en contacto, sino que la relación y el intercambio </w:t>
      </w:r>
      <w:r w:rsidR="00715942">
        <w:rPr>
          <w:rFonts w:ascii="Times New Roman" w:hAnsi="Times New Roman" w:cs="Times New Roman"/>
          <w:bCs/>
          <w:lang w:val="es-ES_tradnl"/>
        </w:rPr>
        <w:t>es recíproco, provoc</w:t>
      </w:r>
      <w:r w:rsidRPr="004819B1">
        <w:rPr>
          <w:rFonts w:ascii="Times New Roman" w:hAnsi="Times New Roman" w:cs="Times New Roman"/>
          <w:bCs/>
          <w:lang w:val="es-ES_tradnl"/>
        </w:rPr>
        <w:t>ando que el diseño en sí mismo, también se transforme. La capacidad del diseño de permanecer en estado líquido (Bauman, 2003) puede ser vista como ventaja, dado que en el momento en que su definición se</w:t>
      </w:r>
      <w:r w:rsidR="00715942">
        <w:rPr>
          <w:rFonts w:ascii="Times New Roman" w:hAnsi="Times New Roman" w:cs="Times New Roman"/>
          <w:bCs/>
          <w:lang w:val="es-ES_tradnl"/>
        </w:rPr>
        <w:t>a determinada y sólida, se volvería</w:t>
      </w:r>
      <w:r w:rsidRPr="004819B1">
        <w:rPr>
          <w:rFonts w:ascii="Times New Roman" w:hAnsi="Times New Roman" w:cs="Times New Roman"/>
          <w:bCs/>
          <w:lang w:val="es-ES_tradnl"/>
        </w:rPr>
        <w:t xml:space="preserve"> permanente </w:t>
      </w:r>
      <w:r w:rsidR="00715942">
        <w:rPr>
          <w:rFonts w:ascii="Times New Roman" w:hAnsi="Times New Roman" w:cs="Times New Roman"/>
          <w:bCs/>
          <w:lang w:val="es-ES_tradnl"/>
        </w:rPr>
        <w:t xml:space="preserve">limitando </w:t>
      </w:r>
      <w:r w:rsidRPr="004819B1">
        <w:rPr>
          <w:rFonts w:ascii="Times New Roman" w:hAnsi="Times New Roman" w:cs="Times New Roman"/>
          <w:bCs/>
          <w:lang w:val="es-ES_tradnl"/>
        </w:rPr>
        <w:t xml:space="preserve">la posibilidad de evolucionar como lo ha hecho hasta ahora (Buchanan, 2001, p.8). </w:t>
      </w:r>
    </w:p>
    <w:p w14:paraId="6617FC16" w14:textId="77777777" w:rsidR="004819B1" w:rsidRPr="004819B1" w:rsidRDefault="004819B1" w:rsidP="004819B1">
      <w:pPr>
        <w:spacing w:line="360" w:lineRule="auto"/>
        <w:rPr>
          <w:rFonts w:ascii="Times New Roman" w:hAnsi="Times New Roman" w:cs="Times New Roman"/>
          <w:bCs/>
          <w:lang w:val="es-ES_tradnl"/>
        </w:rPr>
      </w:pPr>
    </w:p>
    <w:p w14:paraId="412EBE32" w14:textId="1087AE1B"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En este entorno entre lo definido y lo indeterminado, existen dos enfoques claros: las prácticas del diseño con ‘d’ minúscula y el diseño con ‘D’ mayúscula (Holland y Lam, 2014).  El primero, con ‘d’, es el diseño hecho con las manos, el de las </w:t>
      </w:r>
      <w:r w:rsidR="00715942">
        <w:rPr>
          <w:rFonts w:ascii="Times New Roman" w:hAnsi="Times New Roman" w:cs="Times New Roman"/>
          <w:bCs/>
          <w:lang w:val="es-ES_tradnl"/>
        </w:rPr>
        <w:t xml:space="preserve">prácticas de </w:t>
      </w:r>
      <w:r w:rsidRPr="004819B1">
        <w:rPr>
          <w:rFonts w:ascii="Times New Roman" w:hAnsi="Times New Roman" w:cs="Times New Roman"/>
          <w:bCs/>
          <w:lang w:val="es-ES_tradnl"/>
        </w:rPr>
        <w:t xml:space="preserve">diseñadores que han sido entrenados en disciplinas como diseño industrial, diseño de interiores, diseño de moda, diseño arquitectónico o diseño gráfico (Holland y Lam, 2014, p.13). En este extremo se pueden encontrar definiciones claras de cada disciplina y fronteras identificables entre las mismas. </w:t>
      </w:r>
      <w:r w:rsidR="00715942">
        <w:rPr>
          <w:rFonts w:ascii="Times New Roman" w:hAnsi="Times New Roman" w:cs="Times New Roman"/>
          <w:bCs/>
          <w:lang w:val="es-ES_tradnl"/>
        </w:rPr>
        <w:t>Materiales</w:t>
      </w:r>
      <w:r w:rsidRPr="004819B1">
        <w:rPr>
          <w:rFonts w:ascii="Times New Roman" w:hAnsi="Times New Roman" w:cs="Times New Roman"/>
          <w:bCs/>
          <w:lang w:val="es-ES_tradnl"/>
        </w:rPr>
        <w:t xml:space="preserve">, objetos, herramientas, talleres y máquinas con los </w:t>
      </w:r>
      <w:r w:rsidR="00715942">
        <w:rPr>
          <w:rFonts w:ascii="Times New Roman" w:hAnsi="Times New Roman" w:cs="Times New Roman"/>
          <w:bCs/>
          <w:lang w:val="es-ES_tradnl"/>
        </w:rPr>
        <w:t>que se</w:t>
      </w:r>
      <w:r w:rsidRPr="004819B1">
        <w:rPr>
          <w:rFonts w:ascii="Times New Roman" w:hAnsi="Times New Roman" w:cs="Times New Roman"/>
          <w:bCs/>
          <w:lang w:val="es-ES_tradnl"/>
        </w:rPr>
        <w:t xml:space="preserve"> trabaja también </w:t>
      </w:r>
      <w:r w:rsidR="00715942">
        <w:rPr>
          <w:rFonts w:ascii="Times New Roman" w:hAnsi="Times New Roman" w:cs="Times New Roman"/>
          <w:bCs/>
          <w:lang w:val="es-ES_tradnl"/>
        </w:rPr>
        <w:t>son discernibles unos de otros. E</w:t>
      </w:r>
      <w:r w:rsidRPr="004819B1">
        <w:rPr>
          <w:rFonts w:ascii="Times New Roman" w:hAnsi="Times New Roman" w:cs="Times New Roman"/>
          <w:bCs/>
          <w:lang w:val="es-ES_tradnl"/>
        </w:rPr>
        <w:t xml:space="preserve">s un diseño con una materialidad altamente definida y tangible. En cambio, existe en el otro extremo un diseño más silencioso (Gorb and Dumas,1987) un diseño invisible, sin talleres, sin materiales definidos, </w:t>
      </w:r>
      <w:r w:rsidR="00715942">
        <w:rPr>
          <w:rFonts w:ascii="Times New Roman" w:hAnsi="Times New Roman" w:cs="Times New Roman"/>
          <w:bCs/>
          <w:lang w:val="es-ES_tradnl"/>
        </w:rPr>
        <w:t>un diseño cuyas</w:t>
      </w:r>
      <w:r w:rsidRPr="004819B1">
        <w:rPr>
          <w:rFonts w:ascii="Times New Roman" w:hAnsi="Times New Roman" w:cs="Times New Roman"/>
          <w:bCs/>
          <w:lang w:val="es-ES_tradnl"/>
        </w:rPr>
        <w:t xml:space="preserve"> herramientas empleadas son conceptuales. Este es el ‘D’iseño hecho sin manos que busca un acercamiento integral a los problemas. A través de </w:t>
      </w:r>
      <w:r w:rsidR="00715942">
        <w:rPr>
          <w:rFonts w:ascii="Times New Roman" w:hAnsi="Times New Roman" w:cs="Times New Roman"/>
          <w:bCs/>
          <w:lang w:val="es-ES_tradnl"/>
        </w:rPr>
        <w:t>éste</w:t>
      </w:r>
      <w:r w:rsidRPr="004819B1">
        <w:rPr>
          <w:rFonts w:ascii="Times New Roman" w:hAnsi="Times New Roman" w:cs="Times New Roman"/>
          <w:bCs/>
          <w:lang w:val="es-ES_tradnl"/>
        </w:rPr>
        <w:t xml:space="preserve"> se pueden intervenir las formas en las que los seres humanos están interconectados, así como proveer una comprensión más profunda de las necesidades sistémicas de las perso</w:t>
      </w:r>
      <w:r w:rsidR="00715942">
        <w:rPr>
          <w:rFonts w:ascii="Times New Roman" w:hAnsi="Times New Roman" w:cs="Times New Roman"/>
          <w:bCs/>
          <w:lang w:val="es-ES_tradnl"/>
        </w:rPr>
        <w:t>nas (Holland y Lam, 2014, p.12)</w:t>
      </w:r>
      <w:r w:rsidRPr="004819B1">
        <w:rPr>
          <w:rFonts w:ascii="Times New Roman" w:hAnsi="Times New Roman" w:cs="Times New Roman"/>
          <w:bCs/>
          <w:lang w:val="es-ES_tradnl"/>
        </w:rPr>
        <w:t xml:space="preserve"> </w:t>
      </w:r>
      <w:r w:rsidR="00715942">
        <w:rPr>
          <w:rFonts w:ascii="Times New Roman" w:hAnsi="Times New Roman" w:cs="Times New Roman"/>
          <w:bCs/>
          <w:lang w:val="es-ES_tradnl"/>
        </w:rPr>
        <w:t>y de la</w:t>
      </w:r>
      <w:r w:rsidRPr="004819B1">
        <w:rPr>
          <w:rFonts w:ascii="Times New Roman" w:hAnsi="Times New Roman" w:cs="Times New Roman"/>
          <w:bCs/>
          <w:lang w:val="es-ES_tradnl"/>
        </w:rPr>
        <w:t xml:space="preserve"> importancia que tienen los encuentros</w:t>
      </w:r>
      <w:r w:rsidR="00715942">
        <w:rPr>
          <w:rFonts w:ascii="Times New Roman" w:hAnsi="Times New Roman" w:cs="Times New Roman"/>
          <w:bCs/>
          <w:lang w:val="es-ES_tradnl"/>
        </w:rPr>
        <w:t xml:space="preserve"> e interacciones entre las mismas</w:t>
      </w:r>
      <w:r w:rsidRPr="004819B1">
        <w:rPr>
          <w:rFonts w:ascii="Times New Roman" w:hAnsi="Times New Roman" w:cs="Times New Roman"/>
          <w:bCs/>
          <w:lang w:val="es-ES_tradnl"/>
        </w:rPr>
        <w:t xml:space="preserve">. El Diseño </w:t>
      </w:r>
      <w:r w:rsidR="00715942">
        <w:rPr>
          <w:rFonts w:ascii="Times New Roman" w:hAnsi="Times New Roman" w:cs="Times New Roman"/>
          <w:bCs/>
          <w:lang w:val="es-ES_tradnl"/>
        </w:rPr>
        <w:t>encontró la manera de ser</w:t>
      </w:r>
      <w:r w:rsidRPr="004819B1">
        <w:rPr>
          <w:rFonts w:ascii="Times New Roman" w:hAnsi="Times New Roman" w:cs="Times New Roman"/>
          <w:bCs/>
          <w:lang w:val="es-ES_tradnl"/>
        </w:rPr>
        <w:t xml:space="preserve"> un facilitador de “encuentros y conversaciones significativas” (Manzini, 2017, p.188). En este extremo, </w:t>
      </w:r>
      <w:r w:rsidR="00715942">
        <w:rPr>
          <w:rFonts w:ascii="Times New Roman" w:hAnsi="Times New Roman" w:cs="Times New Roman"/>
          <w:bCs/>
          <w:lang w:val="es-ES_tradnl"/>
        </w:rPr>
        <w:t xml:space="preserve">prácticas </w:t>
      </w:r>
      <w:r w:rsidRPr="004819B1">
        <w:rPr>
          <w:rFonts w:ascii="Times New Roman" w:hAnsi="Times New Roman" w:cs="Times New Roman"/>
          <w:bCs/>
          <w:lang w:val="es-ES_tradnl"/>
        </w:rPr>
        <w:t xml:space="preserve">como el diseño estratégico, el diseño de servicios o el diseño transicional, </w:t>
      </w:r>
      <w:r w:rsidR="00715942">
        <w:rPr>
          <w:rFonts w:ascii="Times New Roman" w:hAnsi="Times New Roman" w:cs="Times New Roman"/>
          <w:bCs/>
          <w:lang w:val="es-ES_tradnl"/>
        </w:rPr>
        <w:t>existen con</w:t>
      </w:r>
      <w:r w:rsidRPr="004819B1">
        <w:rPr>
          <w:rFonts w:ascii="Times New Roman" w:hAnsi="Times New Roman" w:cs="Times New Roman"/>
          <w:bCs/>
          <w:lang w:val="es-ES_tradnl"/>
        </w:rPr>
        <w:t xml:space="preserve"> definiciones difusas y fronteras</w:t>
      </w:r>
      <w:r w:rsidR="00715942">
        <w:rPr>
          <w:rFonts w:ascii="Times New Roman" w:hAnsi="Times New Roman" w:cs="Times New Roman"/>
          <w:bCs/>
          <w:lang w:val="es-ES_tradnl"/>
        </w:rPr>
        <w:t xml:space="preserve"> traslapadas. C</w:t>
      </w:r>
      <w:r w:rsidRPr="004819B1">
        <w:rPr>
          <w:rFonts w:ascii="Times New Roman" w:hAnsi="Times New Roman" w:cs="Times New Roman"/>
          <w:bCs/>
          <w:lang w:val="es-ES_tradnl"/>
        </w:rPr>
        <w:t xml:space="preserve">omparten herramientas, métodos y planteamientos ideológicos que en la práctica resulta más difícil distinguir unas de otras y los materiales con los que trabajan </w:t>
      </w:r>
      <w:r w:rsidR="00715942">
        <w:rPr>
          <w:rFonts w:ascii="Times New Roman" w:hAnsi="Times New Roman" w:cs="Times New Roman"/>
          <w:bCs/>
          <w:lang w:val="es-ES_tradnl"/>
        </w:rPr>
        <w:t>son menos</w:t>
      </w:r>
      <w:r w:rsidRPr="004819B1">
        <w:rPr>
          <w:rFonts w:ascii="Times New Roman" w:hAnsi="Times New Roman" w:cs="Times New Roman"/>
          <w:bCs/>
          <w:lang w:val="es-ES_tradnl"/>
        </w:rPr>
        <w:t xml:space="preserve"> visibles y/o tangibles. Si el diseño con ‘d’ minúscula se caracteriza por la manipulación de materiales y herramientas, es comprensible que los estudiantes dediquen gran parte de su tiempo al dominio de habilidades de destreza manual para dibujar, construir, y dar mejores acabados </w:t>
      </w:r>
      <w:commentRangeStart w:id="3"/>
      <w:r w:rsidRPr="004819B1">
        <w:rPr>
          <w:rFonts w:ascii="Times New Roman" w:hAnsi="Times New Roman" w:cs="Times New Roman"/>
          <w:bCs/>
          <w:lang w:val="es-ES_tradnl"/>
        </w:rPr>
        <w:t>(Norman, 2016, p. 343</w:t>
      </w:r>
      <w:commentRangeStart w:id="4"/>
      <w:r w:rsidRPr="004819B1">
        <w:rPr>
          <w:rFonts w:ascii="Times New Roman" w:hAnsi="Times New Roman" w:cs="Times New Roman"/>
          <w:bCs/>
          <w:lang w:val="es-ES_tradnl"/>
        </w:rPr>
        <w:t xml:space="preserve">), </w:t>
      </w:r>
      <w:commentRangeEnd w:id="3"/>
      <w:r w:rsidR="00A50552">
        <w:rPr>
          <w:rStyle w:val="Refdecomentario"/>
        </w:rPr>
        <w:commentReference w:id="3"/>
      </w:r>
      <w:r w:rsidRPr="004819B1">
        <w:rPr>
          <w:rFonts w:ascii="Times New Roman" w:hAnsi="Times New Roman" w:cs="Times New Roman"/>
          <w:bCs/>
          <w:lang w:val="es-ES_tradnl"/>
        </w:rPr>
        <w:t xml:space="preserve">es </w:t>
      </w:r>
      <w:commentRangeEnd w:id="4"/>
      <w:r w:rsidR="00A50552">
        <w:rPr>
          <w:rStyle w:val="Refdecomentario"/>
        </w:rPr>
        <w:commentReference w:id="4"/>
      </w:r>
      <w:r w:rsidRPr="004819B1">
        <w:rPr>
          <w:rFonts w:ascii="Times New Roman" w:hAnsi="Times New Roman" w:cs="Times New Roman"/>
          <w:bCs/>
          <w:lang w:val="es-ES_tradnl"/>
        </w:rPr>
        <w:t xml:space="preserve">decir, diseñar mejor tiene un alto grado de reificación. En cambio, el Diseño, con ‘D’ mayúscula, necesita manipular información, conceptos, perspectivas, problemas, ideas, por lo que sus actividades no necesariamente estarán vinculadas a una destreza manual, sino más bien mental. En este caso, es más difícil </w:t>
      </w:r>
      <w:r w:rsidRPr="004819B1">
        <w:rPr>
          <w:rFonts w:ascii="Times New Roman" w:hAnsi="Times New Roman" w:cs="Times New Roman"/>
          <w:bCs/>
          <w:lang w:val="es-ES_tradnl"/>
        </w:rPr>
        <w:lastRenderedPageBreak/>
        <w:t>reconocer la</w:t>
      </w:r>
      <w:r w:rsidR="00F55A01">
        <w:rPr>
          <w:rFonts w:ascii="Times New Roman" w:hAnsi="Times New Roman" w:cs="Times New Roman"/>
          <w:bCs/>
          <w:lang w:val="es-ES_tradnl"/>
        </w:rPr>
        <w:t xml:space="preserve">s cosas con las que se trabaja y </w:t>
      </w:r>
      <w:r w:rsidRPr="004819B1">
        <w:rPr>
          <w:rFonts w:ascii="Times New Roman" w:hAnsi="Times New Roman" w:cs="Times New Roman"/>
          <w:bCs/>
          <w:lang w:val="es-ES_tradnl"/>
        </w:rPr>
        <w:t xml:space="preserve">los materiales y herramientas son más universales. Para emprender el proceso de D-iseño, se requieren herramientas cognitivas para expandir la mente, como diagramas, notas, gesticulaciones, sketches, entre otras que ayudan al pensamiento espacial (Tversky, 2019). Así, pueden existir distintas formas, procesos y métodos para abordar el mismo problema, y no siempre obtener los mismos resultados. La falta de especificidad hace menos visibles las herramientas y materiales, por eso mismo, podría decirse que se ven disminuidos o erosionados. </w:t>
      </w:r>
    </w:p>
    <w:p w14:paraId="394354B6" w14:textId="77777777" w:rsidR="004819B1" w:rsidRPr="004819B1" w:rsidRDefault="004819B1" w:rsidP="004819B1">
      <w:pPr>
        <w:spacing w:line="360" w:lineRule="auto"/>
        <w:rPr>
          <w:rFonts w:ascii="Times New Roman" w:hAnsi="Times New Roman" w:cs="Times New Roman"/>
          <w:bCs/>
          <w:lang w:val="es-ES_tradnl"/>
        </w:rPr>
      </w:pPr>
    </w:p>
    <w:p w14:paraId="6715AE12" w14:textId="61E7951F" w:rsidR="004819B1" w:rsidRPr="004819B1" w:rsidRDefault="004819B1" w:rsidP="004819B1">
      <w:pPr>
        <w:spacing w:line="360" w:lineRule="auto"/>
        <w:jc w:val="center"/>
        <w:rPr>
          <w:rFonts w:ascii="Times New Roman" w:hAnsi="Times New Roman" w:cs="Times New Roman"/>
          <w:bCs/>
          <w:sz w:val="18"/>
          <w:szCs w:val="18"/>
          <w:lang w:val="es-ES_tradnl"/>
        </w:rPr>
      </w:pPr>
      <w:r w:rsidRPr="004819B1">
        <w:rPr>
          <w:rFonts w:ascii="Times New Roman" w:hAnsi="Times New Roman" w:cs="Times New Roman"/>
          <w:bCs/>
          <w:noProof/>
          <w:sz w:val="18"/>
          <w:szCs w:val="18"/>
          <w:lang w:eastAsia="es-MX"/>
        </w:rPr>
        <w:drawing>
          <wp:inline distT="0" distB="0" distL="0" distR="0" wp14:anchorId="007F97D5" wp14:editId="39F06B78">
            <wp:extent cx="5102861" cy="1852748"/>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a:picLocks noChangeAspect="1"/>
                    </pic:cNvPicPr>
                  </pic:nvPicPr>
                  <pic:blipFill>
                    <a:blip r:embed="rId12"/>
                    <a:stretch>
                      <a:fillRect/>
                    </a:stretch>
                  </pic:blipFill>
                  <pic:spPr>
                    <a:xfrm>
                      <a:off x="0" y="0"/>
                      <a:ext cx="5102861" cy="1852748"/>
                    </a:xfrm>
                    <a:prstGeom prst="rect">
                      <a:avLst/>
                    </a:prstGeom>
                    <a:ln w="12700" cap="flat">
                      <a:noFill/>
                      <a:miter lim="400000"/>
                    </a:ln>
                    <a:effectLst/>
                  </pic:spPr>
                </pic:pic>
              </a:graphicData>
            </a:graphic>
          </wp:inline>
        </w:drawing>
      </w:r>
      <w:r w:rsidRPr="004819B1">
        <w:rPr>
          <w:rFonts w:ascii="Times New Roman" w:hAnsi="Times New Roman" w:cs="Times New Roman"/>
          <w:bCs/>
          <w:sz w:val="18"/>
          <w:szCs w:val="18"/>
          <w:lang w:val="es-ES_tradnl"/>
        </w:rPr>
        <w:br/>
        <w:t>Figura 1. Diferencia entre los productos que se obtienen del proceso de d-iseño y del D-iseño.</w:t>
      </w:r>
      <w:r w:rsidR="00F800C6">
        <w:rPr>
          <w:rFonts w:ascii="Times New Roman" w:hAnsi="Times New Roman" w:cs="Times New Roman"/>
          <w:bCs/>
          <w:sz w:val="18"/>
          <w:szCs w:val="18"/>
          <w:lang w:val="es-ES_tradnl"/>
        </w:rPr>
        <w:t xml:space="preserve"> Elaboración propia (septiembre 2020)</w:t>
      </w:r>
    </w:p>
    <w:p w14:paraId="45C3CE37" w14:textId="77777777" w:rsidR="004819B1" w:rsidRPr="004819B1" w:rsidRDefault="004819B1" w:rsidP="004819B1">
      <w:pPr>
        <w:spacing w:line="360" w:lineRule="auto"/>
        <w:rPr>
          <w:rFonts w:ascii="Times New Roman" w:hAnsi="Times New Roman" w:cs="Times New Roman"/>
          <w:bCs/>
          <w:lang w:val="es-ES_tradnl"/>
        </w:rPr>
      </w:pPr>
    </w:p>
    <w:p w14:paraId="03CB007B" w14:textId="031B0205" w:rsidR="004819B1" w:rsidRPr="004819B1" w:rsidRDefault="00F55A01" w:rsidP="004819B1">
      <w:pPr>
        <w:spacing w:line="360" w:lineRule="auto"/>
        <w:rPr>
          <w:rFonts w:ascii="Times New Roman" w:hAnsi="Times New Roman" w:cs="Times New Roman"/>
          <w:bCs/>
          <w:lang w:val="es-ES_tradnl"/>
        </w:rPr>
      </w:pPr>
      <w:r>
        <w:rPr>
          <w:rFonts w:ascii="Times New Roman" w:hAnsi="Times New Roman" w:cs="Times New Roman"/>
          <w:bCs/>
          <w:lang w:val="es-ES_tradnl"/>
        </w:rPr>
        <w:t>Ambas</w:t>
      </w:r>
      <w:r w:rsidR="004819B1" w:rsidRPr="004819B1">
        <w:rPr>
          <w:rFonts w:ascii="Times New Roman" w:hAnsi="Times New Roman" w:cs="Times New Roman"/>
          <w:bCs/>
          <w:lang w:val="es-ES_tradnl"/>
        </w:rPr>
        <w:t xml:space="preserve"> prácticas </w:t>
      </w:r>
      <w:r>
        <w:rPr>
          <w:rFonts w:ascii="Times New Roman" w:hAnsi="Times New Roman" w:cs="Times New Roman"/>
          <w:bCs/>
          <w:lang w:val="es-ES_tradnl"/>
        </w:rPr>
        <w:t xml:space="preserve">aquí </w:t>
      </w:r>
      <w:r w:rsidR="004819B1" w:rsidRPr="004819B1">
        <w:rPr>
          <w:rFonts w:ascii="Times New Roman" w:hAnsi="Times New Roman" w:cs="Times New Roman"/>
          <w:bCs/>
          <w:lang w:val="es-ES_tradnl"/>
        </w:rPr>
        <w:t xml:space="preserve">son representadas diametralmente opuestas, </w:t>
      </w:r>
      <w:r>
        <w:rPr>
          <w:rFonts w:ascii="Times New Roman" w:hAnsi="Times New Roman" w:cs="Times New Roman"/>
          <w:bCs/>
          <w:lang w:val="es-ES_tradnl"/>
        </w:rPr>
        <w:t xml:space="preserve">pero </w:t>
      </w:r>
      <w:r w:rsidR="004819B1" w:rsidRPr="004819B1">
        <w:rPr>
          <w:rFonts w:ascii="Times New Roman" w:hAnsi="Times New Roman" w:cs="Times New Roman"/>
          <w:bCs/>
          <w:lang w:val="es-ES_tradnl"/>
        </w:rPr>
        <w:t xml:space="preserve">no significa que se realice una exclusivamente sin accionar la otra. </w:t>
      </w:r>
      <w:r>
        <w:rPr>
          <w:rFonts w:ascii="Times New Roman" w:hAnsi="Times New Roman" w:cs="Times New Roman"/>
          <w:bCs/>
          <w:lang w:val="es-ES_tradnl"/>
        </w:rPr>
        <w:t>Incluso, el</w:t>
      </w:r>
      <w:r w:rsidR="004819B1" w:rsidRPr="004819B1">
        <w:rPr>
          <w:rFonts w:ascii="Times New Roman" w:hAnsi="Times New Roman" w:cs="Times New Roman"/>
          <w:bCs/>
          <w:lang w:val="es-ES_tradnl"/>
        </w:rPr>
        <w:t xml:space="preserve"> D-iseño no permitiría excluir al d-iseño de su práctica, pues propone siempre integrar, observar y accionar la organización del mundo en distintas capas, grados, niveles e interconexiones. Donald Norman (2016) declara que, en sus inicios, el diseño era una artesanía u oficio enfocada a producir objetos que se convirtió en una poderosa fuerza para la industria; ahora el diseño está desarrollando nuevas formas </w:t>
      </w:r>
      <w:r>
        <w:rPr>
          <w:rFonts w:ascii="Times New Roman" w:hAnsi="Times New Roman" w:cs="Times New Roman"/>
          <w:bCs/>
          <w:lang w:val="es-ES_tradnl"/>
        </w:rPr>
        <w:t xml:space="preserve">de interacción </w:t>
      </w:r>
      <w:r w:rsidR="004819B1" w:rsidRPr="004819B1">
        <w:rPr>
          <w:rFonts w:ascii="Times New Roman" w:hAnsi="Times New Roman" w:cs="Times New Roman"/>
          <w:bCs/>
          <w:lang w:val="es-ES_tradnl"/>
        </w:rPr>
        <w:t>con el mundo.</w:t>
      </w:r>
      <w:r>
        <w:rPr>
          <w:rFonts w:ascii="Times New Roman" w:hAnsi="Times New Roman" w:cs="Times New Roman"/>
          <w:bCs/>
          <w:lang w:val="es-ES_tradnl"/>
        </w:rPr>
        <w:t xml:space="preserve"> E</w:t>
      </w:r>
      <w:r w:rsidR="004819B1" w:rsidRPr="004819B1">
        <w:rPr>
          <w:rFonts w:ascii="Times New Roman" w:hAnsi="Times New Roman" w:cs="Times New Roman"/>
          <w:bCs/>
          <w:lang w:val="es-ES_tradnl"/>
        </w:rPr>
        <w:t xml:space="preserve">l diseño “ha evolucionado en una forma de pensar” (Norman, 2016, p. 343), </w:t>
      </w:r>
      <w:r>
        <w:rPr>
          <w:rFonts w:ascii="Times New Roman" w:hAnsi="Times New Roman" w:cs="Times New Roman"/>
          <w:bCs/>
          <w:lang w:val="es-ES_tradnl"/>
        </w:rPr>
        <w:t>y</w:t>
      </w:r>
      <w:r w:rsidR="004819B1" w:rsidRPr="004819B1">
        <w:rPr>
          <w:rFonts w:ascii="Times New Roman" w:hAnsi="Times New Roman" w:cs="Times New Roman"/>
          <w:bCs/>
          <w:lang w:val="es-ES_tradnl"/>
        </w:rPr>
        <w:t xml:space="preserve"> es visto como un “campo de pensamiento en vez de un campo de manufactura” (Muratovsky, 2015, p.119). Es por ello que reconocemos en este documento a la actividad del D-iseño, como Diseñar sin manos. </w:t>
      </w:r>
    </w:p>
    <w:p w14:paraId="1DDE22C3" w14:textId="77777777" w:rsidR="004819B1" w:rsidRPr="004819B1" w:rsidRDefault="004819B1" w:rsidP="004819B1">
      <w:pPr>
        <w:spacing w:line="360" w:lineRule="auto"/>
        <w:rPr>
          <w:rFonts w:ascii="Times New Roman" w:hAnsi="Times New Roman" w:cs="Times New Roman"/>
          <w:bCs/>
          <w:lang w:val="es-ES_tradnl"/>
        </w:rPr>
      </w:pPr>
    </w:p>
    <w:p w14:paraId="6DE84F87" w14:textId="77777777" w:rsidR="004819B1" w:rsidRPr="004819B1" w:rsidRDefault="004819B1" w:rsidP="004819B1">
      <w:pPr>
        <w:spacing w:line="360" w:lineRule="auto"/>
        <w:rPr>
          <w:rFonts w:ascii="Times New Roman" w:hAnsi="Times New Roman" w:cs="Times New Roman"/>
          <w:bCs/>
          <w:lang w:val="es-ES_tradnl"/>
        </w:rPr>
      </w:pPr>
    </w:p>
    <w:p w14:paraId="043FF332" w14:textId="77777777" w:rsidR="004819B1" w:rsidRPr="004819B1" w:rsidRDefault="004819B1" w:rsidP="004819B1">
      <w:pPr>
        <w:spacing w:line="360" w:lineRule="auto"/>
        <w:rPr>
          <w:rFonts w:ascii="Times New Roman" w:hAnsi="Times New Roman" w:cs="Times New Roman"/>
          <w:b/>
          <w:bCs/>
          <w:lang w:val="es-ES_tradnl"/>
        </w:rPr>
      </w:pPr>
      <w:r w:rsidRPr="004819B1">
        <w:rPr>
          <w:rFonts w:ascii="Times New Roman" w:hAnsi="Times New Roman" w:cs="Times New Roman"/>
          <w:b/>
          <w:bCs/>
          <w:lang w:val="es-ES_tradnl"/>
        </w:rPr>
        <w:t>2. La necesidad de un nuevo Diseño</w:t>
      </w:r>
    </w:p>
    <w:p w14:paraId="2461701A" w14:textId="5799AB08"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El diseño contemporáneo surgió para atender las necesidades de la economía industrial de mediados del siglo XIX (Muratovksy, 2015). Sin embargo, en los últimos 25 años se han dado numerosos cambios en la industria impactando en diferentes áreas del entorno comercial</w:t>
      </w:r>
      <w:r w:rsidR="00F55A01">
        <w:rPr>
          <w:rFonts w:ascii="Times New Roman" w:hAnsi="Times New Roman" w:cs="Times New Roman"/>
          <w:bCs/>
          <w:lang w:val="es-ES_tradnl"/>
        </w:rPr>
        <w:t>,</w:t>
      </w:r>
      <w:r w:rsidR="008922BB">
        <w:rPr>
          <w:rFonts w:ascii="Times New Roman" w:hAnsi="Times New Roman" w:cs="Times New Roman"/>
          <w:bCs/>
          <w:lang w:val="es-ES_tradnl"/>
        </w:rPr>
        <w:t xml:space="preserve"> </w:t>
      </w:r>
      <w:r w:rsidR="008922BB" w:rsidRPr="004819B1">
        <w:rPr>
          <w:rFonts w:ascii="Times New Roman" w:hAnsi="Times New Roman" w:cs="Times New Roman"/>
          <w:bCs/>
          <w:lang w:val="es-ES_tradnl"/>
        </w:rPr>
        <w:t>las empresas se habían dado cuenta de que el diseño podría ser un “arma central” (Hargadon, 2005, p. 33)</w:t>
      </w:r>
      <w:r w:rsidRPr="004819B1">
        <w:rPr>
          <w:rFonts w:ascii="Times New Roman" w:hAnsi="Times New Roman" w:cs="Times New Roman"/>
          <w:bCs/>
          <w:lang w:val="es-ES_tradnl"/>
        </w:rPr>
        <w:t xml:space="preserve">. Prácticas de manufactura, globalización, distribución, </w:t>
      </w:r>
      <w:r w:rsidRPr="004819B1">
        <w:rPr>
          <w:rFonts w:ascii="Times New Roman" w:hAnsi="Times New Roman" w:cs="Times New Roman"/>
          <w:bCs/>
          <w:i/>
          <w:iCs/>
          <w:lang w:val="es-ES_tradnl"/>
        </w:rPr>
        <w:t>outsourcing</w:t>
      </w:r>
      <w:r w:rsidRPr="004819B1">
        <w:rPr>
          <w:rFonts w:ascii="Times New Roman" w:hAnsi="Times New Roman" w:cs="Times New Roman"/>
          <w:bCs/>
          <w:lang w:val="es-ES_tradnl"/>
        </w:rPr>
        <w:t xml:space="preserve">, comercio electrónico y </w:t>
      </w:r>
      <w:r w:rsidRPr="004819B1">
        <w:rPr>
          <w:rFonts w:ascii="Times New Roman" w:hAnsi="Times New Roman" w:cs="Times New Roman"/>
          <w:bCs/>
          <w:i/>
          <w:iCs/>
          <w:lang w:val="es-ES_tradnl"/>
        </w:rPr>
        <w:t>retail</w:t>
      </w:r>
      <w:r w:rsidRPr="004819B1">
        <w:rPr>
          <w:rFonts w:ascii="Times New Roman" w:hAnsi="Times New Roman" w:cs="Times New Roman"/>
          <w:bCs/>
          <w:lang w:val="es-ES_tradnl"/>
        </w:rPr>
        <w:t xml:space="preserve">, se </w:t>
      </w:r>
      <w:r w:rsidR="00F55A01">
        <w:rPr>
          <w:rFonts w:ascii="Times New Roman" w:hAnsi="Times New Roman" w:cs="Times New Roman"/>
          <w:bCs/>
          <w:lang w:val="es-ES_tradnl"/>
        </w:rPr>
        <w:t xml:space="preserve">tienen que reinventar </w:t>
      </w:r>
      <w:commentRangeStart w:id="5"/>
      <w:r w:rsidR="00F55A01">
        <w:rPr>
          <w:rFonts w:ascii="Times New Roman" w:hAnsi="Times New Roman" w:cs="Times New Roman"/>
          <w:bCs/>
          <w:lang w:val="es-ES_tradnl"/>
        </w:rPr>
        <w:t>reinventan</w:t>
      </w:r>
      <w:commentRangeEnd w:id="5"/>
      <w:r w:rsidR="00443B4B">
        <w:rPr>
          <w:rStyle w:val="Refdecomentario"/>
        </w:rPr>
        <w:commentReference w:id="5"/>
      </w:r>
      <w:r w:rsidR="00F55A01">
        <w:rPr>
          <w:rFonts w:ascii="Times New Roman" w:hAnsi="Times New Roman" w:cs="Times New Roman"/>
          <w:bCs/>
          <w:lang w:val="es-ES_tradnl"/>
        </w:rPr>
        <w:t xml:space="preserve"> </w:t>
      </w:r>
      <w:r w:rsidRPr="004819B1">
        <w:rPr>
          <w:rFonts w:ascii="Times New Roman" w:hAnsi="Times New Roman" w:cs="Times New Roman"/>
          <w:bCs/>
          <w:lang w:val="es-ES_tradnl"/>
        </w:rPr>
        <w:t xml:space="preserve">a sí mismas de manera iterativa, </w:t>
      </w:r>
      <w:r w:rsidR="00F55A01">
        <w:rPr>
          <w:rFonts w:ascii="Times New Roman" w:hAnsi="Times New Roman" w:cs="Times New Roman"/>
          <w:bCs/>
          <w:lang w:val="es-ES_tradnl"/>
        </w:rPr>
        <w:t>para diferenciarse en un</w:t>
      </w:r>
      <w:r w:rsidRPr="004819B1">
        <w:rPr>
          <w:rFonts w:ascii="Times New Roman" w:hAnsi="Times New Roman" w:cs="Times New Roman"/>
          <w:bCs/>
          <w:lang w:val="es-ES_tradnl"/>
        </w:rPr>
        <w:t xml:space="preserve"> mercado </w:t>
      </w:r>
      <w:r w:rsidR="00F55A01">
        <w:rPr>
          <w:rFonts w:ascii="Times New Roman" w:hAnsi="Times New Roman" w:cs="Times New Roman"/>
          <w:bCs/>
          <w:lang w:val="es-ES_tradnl"/>
        </w:rPr>
        <w:t>saturado de productos y servicios ante</w:t>
      </w:r>
      <w:r w:rsidRPr="004819B1">
        <w:rPr>
          <w:rFonts w:ascii="Times New Roman" w:hAnsi="Times New Roman" w:cs="Times New Roman"/>
          <w:bCs/>
          <w:lang w:val="es-ES_tradnl"/>
        </w:rPr>
        <w:t xml:space="preserve"> el consumidor. </w:t>
      </w:r>
      <w:r w:rsidR="008922BB">
        <w:rPr>
          <w:rFonts w:ascii="Times New Roman" w:hAnsi="Times New Roman" w:cs="Times New Roman"/>
          <w:bCs/>
          <w:lang w:val="es-ES_tradnl"/>
        </w:rPr>
        <w:t>Así</w:t>
      </w:r>
      <w:r w:rsidRPr="004819B1">
        <w:rPr>
          <w:rFonts w:ascii="Times New Roman" w:hAnsi="Times New Roman" w:cs="Times New Roman"/>
          <w:bCs/>
          <w:lang w:val="es-ES_tradnl"/>
        </w:rPr>
        <w:t xml:space="preserve"> se desencadenó una etapa de innovación comercial enfocada en “crear experiencias y desarrollar sistemas para la vida, el trabajo y el entretenimiento” (Muratovksy, 2015, p.119). La misma evolución industria</w:t>
      </w:r>
      <w:r w:rsidR="008922BB">
        <w:rPr>
          <w:rFonts w:ascii="Times New Roman" w:hAnsi="Times New Roman" w:cs="Times New Roman"/>
          <w:bCs/>
          <w:lang w:val="es-ES_tradnl"/>
        </w:rPr>
        <w:t>l</w:t>
      </w:r>
      <w:r w:rsidRPr="004819B1">
        <w:rPr>
          <w:rFonts w:ascii="Times New Roman" w:hAnsi="Times New Roman" w:cs="Times New Roman"/>
          <w:bCs/>
          <w:lang w:val="es-ES_tradnl"/>
        </w:rPr>
        <w:t xml:space="preserve"> llevó a la práctica del diseño a modificar enfoques y procesos (TDC, 2007), y ahora se pueden identificar, nuevos </w:t>
      </w:r>
      <w:r w:rsidRPr="004819B1">
        <w:rPr>
          <w:rFonts w:ascii="Times New Roman" w:hAnsi="Times New Roman" w:cs="Times New Roman"/>
          <w:bCs/>
          <w:lang w:val="es-ES_tradnl"/>
        </w:rPr>
        <w:lastRenderedPageBreak/>
        <w:t>órdenes enfocados al diseño de interacciones y al diseño de sistemas (Buchanan, 2001, p.</w:t>
      </w:r>
      <w:commentRangeStart w:id="6"/>
      <w:r w:rsidRPr="004819B1">
        <w:rPr>
          <w:rFonts w:ascii="Times New Roman" w:hAnsi="Times New Roman" w:cs="Times New Roman"/>
          <w:bCs/>
          <w:lang w:val="es-ES_tradnl"/>
        </w:rPr>
        <w:t>10</w:t>
      </w:r>
      <w:commentRangeEnd w:id="6"/>
      <w:r w:rsidR="00443B4B">
        <w:rPr>
          <w:rStyle w:val="Refdecomentario"/>
        </w:rPr>
        <w:commentReference w:id="6"/>
      </w:r>
      <w:r w:rsidRPr="004819B1">
        <w:rPr>
          <w:rFonts w:ascii="Times New Roman" w:hAnsi="Times New Roman" w:cs="Times New Roman"/>
          <w:bCs/>
          <w:lang w:val="es-ES_tradnl"/>
        </w:rPr>
        <w:t xml:space="preserve">). Dichos órdenes, amplían el alcance del diseño, </w:t>
      </w:r>
      <w:r w:rsidR="008922BB">
        <w:rPr>
          <w:rFonts w:ascii="Times New Roman" w:hAnsi="Times New Roman" w:cs="Times New Roman"/>
          <w:bCs/>
          <w:lang w:val="es-ES_tradnl"/>
        </w:rPr>
        <w:t>teniendo</w:t>
      </w:r>
      <w:r w:rsidRPr="004819B1">
        <w:rPr>
          <w:rFonts w:ascii="Times New Roman" w:hAnsi="Times New Roman" w:cs="Times New Roman"/>
          <w:bCs/>
          <w:lang w:val="es-ES_tradnl"/>
        </w:rPr>
        <w:t xml:space="preserve"> mayor cabida en prácticas organizacionales. </w:t>
      </w:r>
      <w:r w:rsidR="008922BB">
        <w:rPr>
          <w:rFonts w:ascii="Times New Roman" w:hAnsi="Times New Roman" w:cs="Times New Roman"/>
          <w:bCs/>
          <w:lang w:val="es-ES_tradnl"/>
        </w:rPr>
        <w:t>N</w:t>
      </w:r>
      <w:r w:rsidRPr="004819B1">
        <w:rPr>
          <w:rFonts w:ascii="Times New Roman" w:hAnsi="Times New Roman" w:cs="Times New Roman"/>
          <w:bCs/>
          <w:lang w:val="es-ES_tradnl"/>
        </w:rPr>
        <w:t>o es casual que el binomio, diseño y empresa, haya ganado mayor auge en las últimas décadas</w:t>
      </w:r>
      <w:r w:rsidR="008922BB">
        <w:rPr>
          <w:rFonts w:ascii="Times New Roman" w:hAnsi="Times New Roman" w:cs="Times New Roman"/>
          <w:bCs/>
          <w:lang w:val="es-ES_tradnl"/>
        </w:rPr>
        <w:t>, pues a</w:t>
      </w:r>
      <w:r w:rsidRPr="004819B1">
        <w:rPr>
          <w:rFonts w:ascii="Times New Roman" w:hAnsi="Times New Roman" w:cs="Times New Roman"/>
          <w:bCs/>
          <w:lang w:val="es-ES_tradnl"/>
        </w:rPr>
        <w:t>mbas prácticas, han ido aprendiendo una de la otra sobre la mejor manera de int</w:t>
      </w:r>
      <w:r w:rsidR="008922BB">
        <w:rPr>
          <w:rFonts w:ascii="Times New Roman" w:hAnsi="Times New Roman" w:cs="Times New Roman"/>
          <w:bCs/>
          <w:lang w:val="es-ES_tradnl"/>
        </w:rPr>
        <w:t>egrar su conocimiento y métodos</w:t>
      </w:r>
      <w:r w:rsidRPr="004819B1">
        <w:rPr>
          <w:rFonts w:ascii="Times New Roman" w:hAnsi="Times New Roman" w:cs="Times New Roman"/>
          <w:bCs/>
          <w:lang w:val="es-ES_tradnl"/>
        </w:rPr>
        <w:t xml:space="preserve">. Es así como surge la Escalera del Diseño, </w:t>
      </w:r>
      <w:r w:rsidR="008922BB">
        <w:rPr>
          <w:rFonts w:ascii="Times New Roman" w:hAnsi="Times New Roman" w:cs="Times New Roman"/>
          <w:bCs/>
          <w:lang w:val="es-ES_tradnl"/>
        </w:rPr>
        <w:t>d</w:t>
      </w:r>
      <w:r w:rsidRPr="004819B1">
        <w:rPr>
          <w:rFonts w:ascii="Times New Roman" w:hAnsi="Times New Roman" w:cs="Times New Roman"/>
          <w:bCs/>
          <w:lang w:val="es-ES_tradnl"/>
        </w:rPr>
        <w:t xml:space="preserve">el Danish Design Centre </w:t>
      </w:r>
      <w:r w:rsidR="008922BB">
        <w:rPr>
          <w:rFonts w:ascii="Times New Roman" w:hAnsi="Times New Roman" w:cs="Times New Roman"/>
          <w:bCs/>
          <w:lang w:val="es-ES_tradnl"/>
        </w:rPr>
        <w:t xml:space="preserve">(2007) para identificar el uso y </w:t>
      </w:r>
      <w:r w:rsidRPr="004819B1">
        <w:rPr>
          <w:rFonts w:ascii="Times New Roman" w:hAnsi="Times New Roman" w:cs="Times New Roman"/>
          <w:bCs/>
          <w:lang w:val="es-ES_tradnl"/>
        </w:rPr>
        <w:t>el grado de integración del diseño en una empresa. Cada escalón podría verse también como un grado de erosión de la materialidad, pues el primer escalón, denominado no-diseño, refiere a decisiones tomadas por no-diseñadores y los productos son desarrollados para cumplir con una función. El segundo refiere a dar forma o “</w:t>
      </w:r>
      <w:r w:rsidRPr="004819B1">
        <w:rPr>
          <w:rFonts w:ascii="Times New Roman" w:hAnsi="Times New Roman" w:cs="Times New Roman"/>
          <w:bCs/>
          <w:i/>
          <w:iCs/>
          <w:lang w:val="es-ES_tradnl"/>
        </w:rPr>
        <w:t>styling</w:t>
      </w:r>
      <w:r w:rsidRPr="004819B1">
        <w:rPr>
          <w:rFonts w:ascii="Times New Roman" w:hAnsi="Times New Roman" w:cs="Times New Roman"/>
          <w:bCs/>
          <w:lang w:val="es-ES_tradnl"/>
        </w:rPr>
        <w:t xml:space="preserve">”, el diseño </w:t>
      </w:r>
      <w:r w:rsidR="00F55A01">
        <w:rPr>
          <w:rFonts w:ascii="Times New Roman" w:hAnsi="Times New Roman" w:cs="Times New Roman"/>
          <w:bCs/>
          <w:lang w:val="es-ES_tradnl"/>
        </w:rPr>
        <w:t>participa en la última parte de</w:t>
      </w:r>
      <w:r w:rsidRPr="004819B1">
        <w:rPr>
          <w:rFonts w:ascii="Times New Roman" w:hAnsi="Times New Roman" w:cs="Times New Roman"/>
          <w:bCs/>
          <w:lang w:val="es-ES_tradnl"/>
        </w:rPr>
        <w:t xml:space="preserve"> desarrollo. En ambos escalones la práctica está vinculada a materiales específicos. El tercer escalón presenta al diseño como proceso, la práctica se integra desde el inicio del desarrollo de un producto. </w:t>
      </w:r>
      <w:r w:rsidR="008922BB">
        <w:rPr>
          <w:rFonts w:ascii="Times New Roman" w:hAnsi="Times New Roman" w:cs="Times New Roman"/>
          <w:bCs/>
          <w:lang w:val="es-ES_tradnl"/>
        </w:rPr>
        <w:t>Así</w:t>
      </w:r>
      <w:r w:rsidRPr="004819B1">
        <w:rPr>
          <w:rFonts w:ascii="Times New Roman" w:hAnsi="Times New Roman" w:cs="Times New Roman"/>
          <w:bCs/>
          <w:lang w:val="es-ES_tradnl"/>
        </w:rPr>
        <w:t>, aunque hay materiales tangibles de por medio, también hay procesos, métodos y toma de decisiones más intangibles que resultan invisibles si sólo se mira el producto final. El último escalón, identifica al diseño como estrategia, el diseñador participa en la toma de decisiones y en la visión de negocio, siendo así más difícil identificar los materiales y métodos con los que se trabaja. Los primeros escalones son dependientes del dominio de técnicas y habilidades manuales y de manipulación de máquinas, mientras que los últimos niveles pueden ser desarrollados sin manos. En el entorno actual, altamente competitivo, se espera que la capacidad estratégica del diseño siga creciendo, contribuyendo a la “creación de conexiones significativas con los consumidores y la mejora del desempeño comercial, ambiental y de bienestar social” (Topaloglu y Er, 2017, p. S502).</w:t>
      </w:r>
    </w:p>
    <w:p w14:paraId="49164BFE" w14:textId="77777777" w:rsidR="004819B1" w:rsidRPr="004819B1" w:rsidRDefault="004819B1" w:rsidP="004819B1">
      <w:pPr>
        <w:spacing w:line="360" w:lineRule="auto"/>
        <w:rPr>
          <w:rFonts w:ascii="Times New Roman" w:hAnsi="Times New Roman" w:cs="Times New Roman"/>
          <w:bCs/>
          <w:lang w:val="es-ES_tradnl"/>
        </w:rPr>
      </w:pPr>
    </w:p>
    <w:p w14:paraId="776E321A" w14:textId="77777777" w:rsidR="004819B1" w:rsidRPr="004819B1" w:rsidRDefault="004819B1" w:rsidP="004819B1">
      <w:pPr>
        <w:spacing w:line="360" w:lineRule="auto"/>
        <w:rPr>
          <w:rFonts w:ascii="Times New Roman" w:hAnsi="Times New Roman" w:cs="Times New Roman"/>
          <w:b/>
          <w:bCs/>
          <w:lang w:val="es-ES_tradnl"/>
        </w:rPr>
      </w:pPr>
      <w:r w:rsidRPr="004819B1">
        <w:rPr>
          <w:rFonts w:ascii="Times New Roman" w:hAnsi="Times New Roman" w:cs="Times New Roman"/>
          <w:b/>
          <w:bCs/>
          <w:lang w:val="es-ES_tradnl"/>
        </w:rPr>
        <w:t>3. Erosión en las prácticas para-disciplinares del D-iseño</w:t>
      </w:r>
    </w:p>
    <w:p w14:paraId="5984FFB0" w14:textId="358D5E1C" w:rsidR="004819B1" w:rsidRPr="004819B1" w:rsidRDefault="00034450" w:rsidP="004819B1">
      <w:pPr>
        <w:spacing w:line="360" w:lineRule="auto"/>
        <w:rPr>
          <w:rFonts w:ascii="Times New Roman" w:hAnsi="Times New Roman" w:cs="Times New Roman"/>
          <w:bCs/>
          <w:lang w:val="es-ES_tradnl"/>
        </w:rPr>
      </w:pPr>
      <w:r>
        <w:rPr>
          <w:rFonts w:ascii="Times New Roman" w:hAnsi="Times New Roman" w:cs="Times New Roman"/>
          <w:bCs/>
          <w:lang w:val="es-ES_tradnl"/>
        </w:rPr>
        <w:t>Desde</w:t>
      </w:r>
      <w:r w:rsidR="004819B1" w:rsidRPr="004819B1">
        <w:rPr>
          <w:rFonts w:ascii="Times New Roman" w:hAnsi="Times New Roman" w:cs="Times New Roman"/>
          <w:bCs/>
          <w:lang w:val="es-ES_tradnl"/>
        </w:rPr>
        <w:t xml:space="preserve"> el modelo de semiósfera de Lotman (1990), podemos identificar prácticas centrales a las disciplinas del diseño y prácticas periféricas. Aquellas que están en el centro, se caracterizan por ser fácilmente reconocidas, definibles y claramente identificadas y consolidadas. En el centro se pueden reconocer instituciones educativas con modelos pedagógicos claramente definidos. Académicos reconocidos, textos canónicos y tradiciones históricas son los pilares del centro. Por ello, el diseño gráfico, diseño industrial, diseño de moda, diseño de interiores y arquitectura </w:t>
      </w:r>
      <w:r>
        <w:rPr>
          <w:rFonts w:ascii="Times New Roman" w:hAnsi="Times New Roman" w:cs="Times New Roman"/>
          <w:bCs/>
          <w:lang w:val="es-ES_tradnl"/>
        </w:rPr>
        <w:t>son</w:t>
      </w:r>
      <w:r w:rsidR="004819B1" w:rsidRPr="004819B1">
        <w:rPr>
          <w:rFonts w:ascii="Times New Roman" w:hAnsi="Times New Roman" w:cs="Times New Roman"/>
          <w:bCs/>
          <w:lang w:val="es-ES_tradnl"/>
        </w:rPr>
        <w:t xml:space="preserve"> las disciplinas más centrales. En los bordes de dichas disciplinas, están surgiendo otras prácticas en búsqueda de reconocimiento, y tratarán de ganarse un espacio en el centro. No obstante, varios aspectos en torno a las mismas no son claramente reconocibles. Por ejemplo, en el momento en que el usuario ganó importancia al interior del proceso de diseño, surgen prácticas como diseño centrado en el usuario, diseño participativo y co-diseño (Lee, 2008; Manzini y Rizzo, 2011), </w:t>
      </w:r>
      <w:r>
        <w:rPr>
          <w:rFonts w:ascii="Times New Roman" w:hAnsi="Times New Roman" w:cs="Times New Roman"/>
          <w:bCs/>
          <w:lang w:val="es-ES_tradnl"/>
        </w:rPr>
        <w:t>compartiendo</w:t>
      </w:r>
      <w:r w:rsidR="004819B1" w:rsidRPr="004819B1">
        <w:rPr>
          <w:rFonts w:ascii="Times New Roman" w:hAnsi="Times New Roman" w:cs="Times New Roman"/>
          <w:bCs/>
          <w:lang w:val="es-ES_tradnl"/>
        </w:rPr>
        <w:t xml:space="preserve"> rasgos </w:t>
      </w:r>
      <w:r>
        <w:rPr>
          <w:rFonts w:ascii="Times New Roman" w:hAnsi="Times New Roman" w:cs="Times New Roman"/>
          <w:bCs/>
          <w:lang w:val="es-ES_tradnl"/>
        </w:rPr>
        <w:t>entre sí que impide diferenciarlas fácilmente</w:t>
      </w:r>
      <w:r w:rsidR="004819B1" w:rsidRPr="004819B1">
        <w:rPr>
          <w:rFonts w:ascii="Times New Roman" w:hAnsi="Times New Roman" w:cs="Times New Roman"/>
          <w:bCs/>
          <w:lang w:val="es-ES_tradnl"/>
        </w:rPr>
        <w:t xml:space="preserve">. Lo mismo sucede con el diseño de interacción, el diseño de experiencias y el diseño de servicios. </w:t>
      </w:r>
      <w:r>
        <w:rPr>
          <w:rFonts w:ascii="Times New Roman" w:hAnsi="Times New Roman" w:cs="Times New Roman"/>
          <w:bCs/>
          <w:lang w:val="es-ES_tradnl"/>
        </w:rPr>
        <w:t>Así,</w:t>
      </w:r>
      <w:r w:rsidR="004819B1" w:rsidRPr="004819B1">
        <w:rPr>
          <w:rFonts w:ascii="Times New Roman" w:hAnsi="Times New Roman" w:cs="Times New Roman"/>
          <w:bCs/>
          <w:lang w:val="es-ES_tradnl"/>
        </w:rPr>
        <w:t xml:space="preserve"> la semiósfera del diseño debe ser vista como un espacio vivo de constante interacción y cambio, </w:t>
      </w:r>
      <w:r>
        <w:rPr>
          <w:rFonts w:ascii="Times New Roman" w:hAnsi="Times New Roman" w:cs="Times New Roman"/>
          <w:bCs/>
          <w:lang w:val="es-ES_tradnl"/>
        </w:rPr>
        <w:t xml:space="preserve">cuyas </w:t>
      </w:r>
      <w:r w:rsidR="004819B1" w:rsidRPr="004819B1">
        <w:rPr>
          <w:rFonts w:ascii="Times New Roman" w:hAnsi="Times New Roman" w:cs="Times New Roman"/>
          <w:bCs/>
          <w:lang w:val="es-ES_tradnl"/>
        </w:rPr>
        <w:t xml:space="preserve">fronteras </w:t>
      </w:r>
      <w:r>
        <w:rPr>
          <w:rFonts w:ascii="Times New Roman" w:hAnsi="Times New Roman" w:cs="Times New Roman"/>
          <w:bCs/>
          <w:lang w:val="es-ES_tradnl"/>
        </w:rPr>
        <w:t xml:space="preserve">no son </w:t>
      </w:r>
      <w:r w:rsidR="004819B1" w:rsidRPr="004819B1">
        <w:rPr>
          <w:rFonts w:ascii="Times New Roman" w:hAnsi="Times New Roman" w:cs="Times New Roman"/>
          <w:bCs/>
          <w:lang w:val="es-ES_tradnl"/>
        </w:rPr>
        <w:t xml:space="preserve">claramente identificables (Noth, 2015), sino difusas y traslapadas entre las disciplinas. </w:t>
      </w:r>
      <w:r>
        <w:rPr>
          <w:rFonts w:ascii="Times New Roman" w:hAnsi="Times New Roman" w:cs="Times New Roman"/>
          <w:bCs/>
          <w:lang w:val="es-ES_tradnl"/>
        </w:rPr>
        <w:t>Entonces,</w:t>
      </w:r>
      <w:r w:rsidR="004819B1" w:rsidRPr="004819B1">
        <w:rPr>
          <w:rFonts w:ascii="Times New Roman" w:hAnsi="Times New Roman" w:cs="Times New Roman"/>
          <w:bCs/>
          <w:lang w:val="es-ES_tradnl"/>
        </w:rPr>
        <w:t xml:space="preserve"> el centro tendrá una alta materialidad, claramente definida y pesada, y la periferia una baja materialidad, erosionada, porosa y ligera.</w:t>
      </w:r>
    </w:p>
    <w:p w14:paraId="5E51E0AC" w14:textId="77777777" w:rsidR="004819B1" w:rsidRPr="004819B1" w:rsidRDefault="004819B1" w:rsidP="004819B1">
      <w:pPr>
        <w:spacing w:line="360" w:lineRule="auto"/>
        <w:rPr>
          <w:rFonts w:ascii="Times New Roman" w:hAnsi="Times New Roman" w:cs="Times New Roman"/>
          <w:bCs/>
          <w:lang w:val="es-ES_tradnl"/>
        </w:rPr>
      </w:pPr>
    </w:p>
    <w:p w14:paraId="0625093E" w14:textId="49EF98DF"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lastRenderedPageBreak/>
        <w:t xml:space="preserve">A partir de una revisión documental de prácticas para-disciplinares, hemos identificado cuatro aspectos que se han erosionado en las distintas prácticas: los problemas, los participantes, los procesos y los productos. </w:t>
      </w:r>
    </w:p>
    <w:p w14:paraId="55E0526F" w14:textId="184F7688" w:rsidR="004819B1" w:rsidRPr="004819B1" w:rsidRDefault="004819B1" w:rsidP="004819B1">
      <w:pPr>
        <w:numPr>
          <w:ilvl w:val="0"/>
          <w:numId w:val="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Problemas. Hay una erosión manifiesta en cuanto al tipo de problemas que se abordan y el alcance de las disciplinas. Es decir, las disciplinas centrales cuentan con un objetivo claro de su quehacer, mientras que las prácticas para-disciplinares tendrán objetivos más difusos, con un alcance tan amplio que su práctica se puede adaptar a distintos problemas, contextos y objetivos. Por ejemplo, el diseño de experiencias se puede aplicar tanto para mejorar la experiencia de un parque de diversiones, como también para tener un impacto más memorable en un proceso de enseñanza-aprendizaje (Lundberg, 2018). En otras palabras, el grado de indeterminación de los problemas suele ser mayor, puesto que tienden a ser multifactoriales</w:t>
      </w:r>
      <w:r w:rsidR="00CF2DA2">
        <w:rPr>
          <w:rFonts w:ascii="Times New Roman" w:hAnsi="Times New Roman" w:cs="Times New Roman"/>
          <w:bCs/>
          <w:lang w:val="es-ES_tradnl"/>
        </w:rPr>
        <w:t xml:space="preserve">. </w:t>
      </w:r>
      <w:r w:rsidRPr="004819B1">
        <w:rPr>
          <w:rFonts w:ascii="Times New Roman" w:hAnsi="Times New Roman" w:cs="Times New Roman"/>
          <w:bCs/>
          <w:lang w:val="es-ES_tradnl"/>
        </w:rPr>
        <w:t>Por ende, la naturaleza misma de los problemas, de carácter sistémico y transdisciplinar (López-León, 2016), no podrían generar como producto artefactos de una sola disciplina, sino sistemas que conjugan distintas manifestaciones no necesariamente relacionadas con las prácticas del diseño.  Una erosión de los problemas que se atienden significa una mayor dificultad para identificarlos.</w:t>
      </w:r>
    </w:p>
    <w:p w14:paraId="19C74E09" w14:textId="283E535C" w:rsidR="004819B1" w:rsidRPr="004819B1" w:rsidRDefault="004819B1" w:rsidP="004819B1">
      <w:pPr>
        <w:numPr>
          <w:ilvl w:val="0"/>
          <w:numId w:val="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Participantes. Ahora más que nunca los profesionales del diseño se han erosionado en dos aspectos. El primero tiene que ver</w:t>
      </w:r>
      <w:r w:rsidR="00D14325">
        <w:rPr>
          <w:rFonts w:ascii="Times New Roman" w:hAnsi="Times New Roman" w:cs="Times New Roman"/>
          <w:bCs/>
          <w:lang w:val="es-ES_tradnl"/>
        </w:rPr>
        <w:t xml:space="preserve"> con que un proyecto de diseño </w:t>
      </w:r>
      <w:r w:rsidRPr="004819B1">
        <w:rPr>
          <w:rFonts w:ascii="Times New Roman" w:hAnsi="Times New Roman" w:cs="Times New Roman"/>
          <w:bCs/>
          <w:lang w:val="es-ES_tradnl"/>
        </w:rPr>
        <w:t xml:space="preserve">ya no es desarrollado por una sola persona. Hoy en día es menos común hablar de grandes gurús del diseño sino más bien de equipos de trabajo, es decir, la individualidad se ha erosionado. </w:t>
      </w:r>
      <w:r w:rsidR="00D14325">
        <w:rPr>
          <w:rFonts w:ascii="Times New Roman" w:hAnsi="Times New Roman" w:cs="Times New Roman"/>
          <w:bCs/>
          <w:lang w:val="es-ES_tradnl"/>
        </w:rPr>
        <w:t>S</w:t>
      </w:r>
      <w:r w:rsidRPr="004819B1">
        <w:rPr>
          <w:rFonts w:ascii="Times New Roman" w:hAnsi="Times New Roman" w:cs="Times New Roman"/>
          <w:bCs/>
          <w:lang w:val="es-ES_tradnl"/>
        </w:rPr>
        <w:t>e habla</w:t>
      </w:r>
      <w:r w:rsidR="00D14325">
        <w:rPr>
          <w:rFonts w:ascii="Times New Roman" w:hAnsi="Times New Roman" w:cs="Times New Roman"/>
          <w:bCs/>
          <w:lang w:val="es-ES_tradnl"/>
        </w:rPr>
        <w:t xml:space="preserve"> también</w:t>
      </w:r>
      <w:r w:rsidRPr="004819B1">
        <w:rPr>
          <w:rFonts w:ascii="Times New Roman" w:hAnsi="Times New Roman" w:cs="Times New Roman"/>
          <w:bCs/>
          <w:lang w:val="es-ES_tradnl"/>
        </w:rPr>
        <w:t xml:space="preserve"> de formas </w:t>
      </w:r>
      <w:r w:rsidR="00D14325">
        <w:rPr>
          <w:rFonts w:ascii="Times New Roman" w:hAnsi="Times New Roman" w:cs="Times New Roman"/>
          <w:bCs/>
          <w:lang w:val="es-ES_tradnl"/>
        </w:rPr>
        <w:t xml:space="preserve">o equipos </w:t>
      </w:r>
      <w:r w:rsidRPr="004819B1">
        <w:rPr>
          <w:rFonts w:ascii="Times New Roman" w:hAnsi="Times New Roman" w:cs="Times New Roman"/>
          <w:bCs/>
          <w:lang w:val="es-ES_tradnl"/>
        </w:rPr>
        <w:t>de trabajo</w:t>
      </w:r>
      <w:r w:rsidR="00D14325">
        <w:rPr>
          <w:rFonts w:ascii="Times New Roman" w:hAnsi="Times New Roman" w:cs="Times New Roman"/>
          <w:bCs/>
          <w:lang w:val="es-ES_tradnl"/>
        </w:rPr>
        <w:t>, de</w:t>
      </w:r>
      <w:r w:rsidRPr="004819B1">
        <w:rPr>
          <w:rFonts w:ascii="Times New Roman" w:hAnsi="Times New Roman" w:cs="Times New Roman"/>
          <w:bCs/>
          <w:lang w:val="es-ES_tradnl"/>
        </w:rPr>
        <w:t xml:space="preserve"> organización de ciertas e</w:t>
      </w:r>
      <w:r w:rsidR="00D14325">
        <w:rPr>
          <w:rFonts w:ascii="Times New Roman" w:hAnsi="Times New Roman" w:cs="Times New Roman"/>
          <w:bCs/>
          <w:lang w:val="es-ES_tradnl"/>
        </w:rPr>
        <w:t>mpresas, más que de sus líderes</w:t>
      </w:r>
      <w:r w:rsidRPr="004819B1">
        <w:rPr>
          <w:rFonts w:ascii="Times New Roman" w:hAnsi="Times New Roman" w:cs="Times New Roman"/>
          <w:bCs/>
          <w:lang w:val="es-ES_tradnl"/>
        </w:rPr>
        <w:t>. El segundo aspecto refiere a la erosión de la profesión en cuanto al tipo de participantes, pues el conocimiento, los métodos y los procesos de diseño ahora no son excl</w:t>
      </w:r>
      <w:r w:rsidR="008C455C">
        <w:rPr>
          <w:rFonts w:ascii="Times New Roman" w:hAnsi="Times New Roman" w:cs="Times New Roman"/>
          <w:bCs/>
          <w:lang w:val="es-ES_tradnl"/>
        </w:rPr>
        <w:t>usivos de</w:t>
      </w:r>
      <w:r w:rsidRPr="004819B1">
        <w:rPr>
          <w:rFonts w:ascii="Times New Roman" w:hAnsi="Times New Roman" w:cs="Times New Roman"/>
          <w:bCs/>
          <w:lang w:val="es-ES_tradnl"/>
        </w:rPr>
        <w:t xml:space="preserve"> profesionales del diseño. Por ejemplo, la firma de informática IBM ofrece la posibilidad resolver “problemas mientras mejora las experiencias de sus clientes con IBM Enterprise </w:t>
      </w:r>
      <w:r w:rsidRPr="004819B1">
        <w:rPr>
          <w:rFonts w:ascii="Times New Roman" w:hAnsi="Times New Roman" w:cs="Times New Roman"/>
          <w:bCs/>
          <w:i/>
          <w:iCs/>
          <w:lang w:val="es-ES_tradnl"/>
        </w:rPr>
        <w:t>Design Thinking</w:t>
      </w:r>
      <w:r w:rsidRPr="004819B1">
        <w:rPr>
          <w:rFonts w:ascii="Times New Roman" w:hAnsi="Times New Roman" w:cs="Times New Roman"/>
          <w:bCs/>
          <w:lang w:val="es-ES_tradnl"/>
        </w:rPr>
        <w:t xml:space="preserve">” (IBM, s.f.). Quizá el </w:t>
      </w:r>
      <w:r w:rsidRPr="004819B1">
        <w:rPr>
          <w:rFonts w:ascii="Times New Roman" w:hAnsi="Times New Roman" w:cs="Times New Roman"/>
          <w:bCs/>
          <w:i/>
          <w:iCs/>
          <w:lang w:val="es-ES_tradnl"/>
        </w:rPr>
        <w:t>Design Thinking</w:t>
      </w:r>
      <w:r w:rsidRPr="004819B1">
        <w:rPr>
          <w:rFonts w:ascii="Times New Roman" w:hAnsi="Times New Roman" w:cs="Times New Roman"/>
          <w:bCs/>
          <w:lang w:val="es-ES_tradnl"/>
        </w:rPr>
        <w:t xml:space="preserve"> es una de las prácticas que más ha erosionado a participantes-diseñadores, pues es un enfoque que se promueve también en las escuelas de administración y negocios, (Glen et al. 2015), </w:t>
      </w:r>
      <w:r w:rsidR="008C455C">
        <w:rPr>
          <w:rFonts w:ascii="Times New Roman" w:hAnsi="Times New Roman" w:cs="Times New Roman"/>
          <w:bCs/>
          <w:lang w:val="es-ES_tradnl"/>
        </w:rPr>
        <w:t>contando con publicaciones en</w:t>
      </w:r>
      <w:r w:rsidRPr="004819B1">
        <w:rPr>
          <w:rFonts w:ascii="Times New Roman" w:hAnsi="Times New Roman" w:cs="Times New Roman"/>
          <w:bCs/>
          <w:lang w:val="es-ES_tradnl"/>
        </w:rPr>
        <w:t xml:space="preserve"> revistas especializadas del área de administración y empresas (Liedka, 2018; Bachnik, 2016). </w:t>
      </w:r>
      <w:r w:rsidR="008C455C">
        <w:rPr>
          <w:rFonts w:ascii="Times New Roman" w:hAnsi="Times New Roman" w:cs="Times New Roman"/>
          <w:bCs/>
          <w:lang w:val="es-ES_tradnl"/>
        </w:rPr>
        <w:t>C</w:t>
      </w:r>
      <w:r w:rsidRPr="004819B1">
        <w:rPr>
          <w:rFonts w:ascii="Times New Roman" w:hAnsi="Times New Roman" w:cs="Times New Roman"/>
          <w:bCs/>
          <w:lang w:val="es-ES_tradnl"/>
        </w:rPr>
        <w:t xml:space="preserve">onsultoras de </w:t>
      </w:r>
      <w:r w:rsidRPr="004819B1">
        <w:rPr>
          <w:rFonts w:ascii="Times New Roman" w:hAnsi="Times New Roman" w:cs="Times New Roman"/>
          <w:bCs/>
          <w:i/>
          <w:iCs/>
          <w:lang w:val="es-ES_tradnl"/>
        </w:rPr>
        <w:t xml:space="preserve">management </w:t>
      </w:r>
      <w:r w:rsidRPr="004819B1">
        <w:rPr>
          <w:rFonts w:ascii="Times New Roman" w:hAnsi="Times New Roman" w:cs="Times New Roman"/>
          <w:bCs/>
          <w:lang w:val="es-ES_tradnl"/>
        </w:rPr>
        <w:t xml:space="preserve">ofrecen </w:t>
      </w:r>
      <w:r w:rsidR="008C455C">
        <w:rPr>
          <w:rFonts w:ascii="Times New Roman" w:hAnsi="Times New Roman" w:cs="Times New Roman"/>
          <w:bCs/>
          <w:lang w:val="es-ES_tradnl"/>
        </w:rPr>
        <w:t xml:space="preserve">ahora </w:t>
      </w:r>
      <w:r w:rsidRPr="004819B1">
        <w:rPr>
          <w:rFonts w:ascii="Times New Roman" w:hAnsi="Times New Roman" w:cs="Times New Roman"/>
          <w:bCs/>
          <w:lang w:val="es-ES_tradnl"/>
        </w:rPr>
        <w:t xml:space="preserve">´Diseño´ como uno de sus servicios (Muratovsky, 2015, p. 118). La erosión de los participantes también es visible </w:t>
      </w:r>
      <w:r w:rsidR="008C455C">
        <w:rPr>
          <w:rFonts w:ascii="Times New Roman" w:hAnsi="Times New Roman" w:cs="Times New Roman"/>
          <w:bCs/>
          <w:lang w:val="es-ES_tradnl"/>
        </w:rPr>
        <w:t>en</w:t>
      </w:r>
      <w:r w:rsidRPr="004819B1">
        <w:rPr>
          <w:rFonts w:ascii="Times New Roman" w:hAnsi="Times New Roman" w:cs="Times New Roman"/>
          <w:bCs/>
          <w:lang w:val="es-ES_tradnl"/>
        </w:rPr>
        <w:t xml:space="preserve"> prácticas como el </w:t>
      </w:r>
      <w:r w:rsidRPr="004819B1">
        <w:rPr>
          <w:rFonts w:ascii="Times New Roman" w:hAnsi="Times New Roman" w:cs="Times New Roman"/>
          <w:bCs/>
          <w:i/>
          <w:iCs/>
          <w:lang w:val="es-ES_tradnl"/>
        </w:rPr>
        <w:t>co-design</w:t>
      </w:r>
      <w:r w:rsidRPr="004819B1">
        <w:rPr>
          <w:rFonts w:ascii="Times New Roman" w:hAnsi="Times New Roman" w:cs="Times New Roman"/>
          <w:bCs/>
          <w:lang w:val="es-ES_tradnl"/>
        </w:rPr>
        <w:t xml:space="preserve"> (Trischler, 2018), que </w:t>
      </w:r>
      <w:r w:rsidR="008C455C">
        <w:rPr>
          <w:rFonts w:ascii="Times New Roman" w:hAnsi="Times New Roman" w:cs="Times New Roman"/>
          <w:bCs/>
          <w:lang w:val="es-ES_tradnl"/>
        </w:rPr>
        <w:t>involucran</w:t>
      </w:r>
      <w:r w:rsidRPr="004819B1">
        <w:rPr>
          <w:rFonts w:ascii="Times New Roman" w:hAnsi="Times New Roman" w:cs="Times New Roman"/>
          <w:bCs/>
          <w:lang w:val="es-ES_tradnl"/>
        </w:rPr>
        <w:t xml:space="preserve"> a usuarios finale</w:t>
      </w:r>
      <w:r w:rsidR="008C455C">
        <w:rPr>
          <w:rFonts w:ascii="Times New Roman" w:hAnsi="Times New Roman" w:cs="Times New Roman"/>
          <w:bCs/>
          <w:lang w:val="es-ES_tradnl"/>
        </w:rPr>
        <w:t xml:space="preserve">s durante el proceso de diseño, además de incluir </w:t>
      </w:r>
      <w:r w:rsidRPr="004819B1">
        <w:rPr>
          <w:rFonts w:ascii="Times New Roman" w:hAnsi="Times New Roman" w:cs="Times New Roman"/>
          <w:bCs/>
          <w:lang w:val="es-ES_tradnl"/>
        </w:rPr>
        <w:t xml:space="preserve">otros </w:t>
      </w:r>
      <w:r w:rsidRPr="004819B1">
        <w:rPr>
          <w:rFonts w:ascii="Times New Roman" w:hAnsi="Times New Roman" w:cs="Times New Roman"/>
          <w:bCs/>
          <w:i/>
          <w:iCs/>
          <w:lang w:val="es-ES_tradnl"/>
        </w:rPr>
        <w:t xml:space="preserve">stakeholdres </w:t>
      </w:r>
      <w:r w:rsidRPr="004819B1">
        <w:rPr>
          <w:rFonts w:ascii="Times New Roman" w:hAnsi="Times New Roman" w:cs="Times New Roman"/>
          <w:bCs/>
          <w:lang w:val="es-ES_tradnl"/>
        </w:rPr>
        <w:t xml:space="preserve">como administrativos, </w:t>
      </w:r>
      <w:r w:rsidR="008C455C">
        <w:rPr>
          <w:rFonts w:ascii="Times New Roman" w:hAnsi="Times New Roman" w:cs="Times New Roman"/>
          <w:bCs/>
          <w:lang w:val="es-ES_tradnl"/>
        </w:rPr>
        <w:t>distribuidores,</w:t>
      </w:r>
      <w:r w:rsidRPr="004819B1">
        <w:rPr>
          <w:rFonts w:ascii="Times New Roman" w:hAnsi="Times New Roman" w:cs="Times New Roman"/>
          <w:bCs/>
          <w:lang w:val="es-ES_tradnl"/>
        </w:rPr>
        <w:t xml:space="preserve"> entre otras. Una erosión de los participantes significa una no-determinación de perfiles de participantes del proceso de diseño.</w:t>
      </w:r>
    </w:p>
    <w:p w14:paraId="0E095D5B" w14:textId="154BAD1A" w:rsidR="004819B1" w:rsidRPr="004819B1" w:rsidRDefault="004819B1" w:rsidP="004819B1">
      <w:pPr>
        <w:numPr>
          <w:ilvl w:val="0"/>
          <w:numId w:val="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Procesos. Los métodos, técnicas y procesos no son exclusivos de una sola área disciplinar, sino que son intercambiables, complementarios e integrales. Así, si el </w:t>
      </w:r>
      <w:r w:rsidRPr="004819B1">
        <w:rPr>
          <w:rFonts w:ascii="Times New Roman" w:hAnsi="Times New Roman" w:cs="Times New Roman"/>
          <w:bCs/>
          <w:i/>
          <w:iCs/>
          <w:lang w:val="es-ES_tradnl"/>
        </w:rPr>
        <w:t>co-diseño</w:t>
      </w:r>
      <w:r w:rsidRPr="004819B1">
        <w:rPr>
          <w:rFonts w:ascii="Times New Roman" w:hAnsi="Times New Roman" w:cs="Times New Roman"/>
          <w:bCs/>
          <w:lang w:val="es-ES_tradnl"/>
        </w:rPr>
        <w:t xml:space="preserve"> se refiere a involucrar a los usuarios finales activamente en el proceso de diseño, no significa que las técnicas y herramientas propuestas para dicha actividad no puedan ser utilizadas también para diseñar una experiencia o para mejorar el proceso de diseño gráfico. Por ejemplo, podrían usarse técnicas para iniciar el proceso de diseño </w:t>
      </w:r>
      <w:r w:rsidR="00DE7AE5">
        <w:rPr>
          <w:rFonts w:ascii="Times New Roman" w:hAnsi="Times New Roman" w:cs="Times New Roman"/>
          <w:bCs/>
          <w:lang w:val="es-ES_tradnl"/>
        </w:rPr>
        <w:t>empatizando</w:t>
      </w:r>
      <w:r w:rsidRPr="004819B1">
        <w:rPr>
          <w:rFonts w:ascii="Times New Roman" w:hAnsi="Times New Roman" w:cs="Times New Roman"/>
          <w:bCs/>
          <w:lang w:val="es-ES_tradnl"/>
        </w:rPr>
        <w:t xml:space="preserve"> con el usuario, como lo declara el diseño centrado en el usuario, (IDEO, 2011), </w:t>
      </w:r>
      <w:r w:rsidRPr="004819B1">
        <w:rPr>
          <w:rFonts w:ascii="Times New Roman" w:hAnsi="Times New Roman" w:cs="Times New Roman"/>
          <w:bCs/>
          <w:lang w:val="es-ES_tradnl"/>
        </w:rPr>
        <w:lastRenderedPageBreak/>
        <w:t xml:space="preserve">y </w:t>
      </w:r>
      <w:r w:rsidR="00DE7AE5">
        <w:rPr>
          <w:rFonts w:ascii="Times New Roman" w:hAnsi="Times New Roman" w:cs="Times New Roman"/>
          <w:bCs/>
          <w:lang w:val="es-ES_tradnl"/>
        </w:rPr>
        <w:t xml:space="preserve">luego </w:t>
      </w:r>
      <w:r w:rsidRPr="004819B1">
        <w:rPr>
          <w:rFonts w:ascii="Times New Roman" w:hAnsi="Times New Roman" w:cs="Times New Roman"/>
          <w:bCs/>
          <w:lang w:val="es-ES_tradnl"/>
        </w:rPr>
        <w:t xml:space="preserve">tomar la técnica del </w:t>
      </w:r>
      <w:r w:rsidRPr="004819B1">
        <w:rPr>
          <w:rFonts w:ascii="Times New Roman" w:hAnsi="Times New Roman" w:cs="Times New Roman"/>
          <w:bCs/>
          <w:i/>
          <w:iCs/>
          <w:lang w:val="es-ES_tradnl"/>
        </w:rPr>
        <w:t>blueprint</w:t>
      </w:r>
      <w:r w:rsidRPr="004819B1">
        <w:rPr>
          <w:rFonts w:ascii="Times New Roman" w:hAnsi="Times New Roman" w:cs="Times New Roman"/>
          <w:bCs/>
          <w:lang w:val="es-ES_tradnl"/>
        </w:rPr>
        <w:t>, del diseño de servicios (Stickdorn y Schne, 2012) para mejorar una experiencia en un parque de diversiones. Las prácticas para-disciplinares han erosionado la búsqueda del método o proceso ideal del diseño para resolver problemas, lo que ha ocasionado la apertura del mismo a involucrar varios métodos y técnicas, mejorar aquellos que ya existen, involucrar otras disciplinas y distintos perfiles de participantes. Asimismo, el proceso ahora es siempre inacabado, incompleto, implantando en su naturaleza una práctica iterativa para mejorar los resultados. La erosión en los procesos significa una no-definición de pasos, métodos y herramientas a utilizar.</w:t>
      </w:r>
    </w:p>
    <w:p w14:paraId="184F145F" w14:textId="7337ACB9" w:rsidR="004819B1" w:rsidRPr="004819B1" w:rsidRDefault="004819B1" w:rsidP="004819B1">
      <w:pPr>
        <w:numPr>
          <w:ilvl w:val="0"/>
          <w:numId w:val="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 Productos. Los productos o resultados de las prácticas para-disciplinares no están definidos por sus características, como sí lo están los artefactos de las disciplinas centrales como objetos, imágenes, o espacios; por eso mismo, tienden a ser poco especificados, abiertos e intangibles. El Diseño Lento – </w:t>
      </w:r>
      <w:r w:rsidRPr="004819B1">
        <w:rPr>
          <w:rFonts w:ascii="Times New Roman" w:hAnsi="Times New Roman" w:cs="Times New Roman"/>
          <w:bCs/>
          <w:i/>
          <w:iCs/>
          <w:lang w:val="es-ES_tradnl"/>
        </w:rPr>
        <w:t>Slow Design</w:t>
      </w:r>
      <w:r w:rsidRPr="004819B1">
        <w:rPr>
          <w:rFonts w:ascii="Times New Roman" w:hAnsi="Times New Roman" w:cs="Times New Roman"/>
          <w:bCs/>
          <w:lang w:val="es-ES_tradnl"/>
        </w:rPr>
        <w:t xml:space="preserve"> – propone 6 principios que pueden ser una herramienta para “interrogar, evaluar y reflexionar sobre ideas, procesos y resultados de diseño” (Strauss y Fuad-Luke, 2008, p.1). En otras palabras, aunque el diseño lento busca promover que las prácticas del diseño sean más sustentables, no presenta un método particular, también deja ver claro que al aplicar el diseño lento no se obtendrán productos tangibles, sino puntos de vista y reflexiones. </w:t>
      </w:r>
      <w:r w:rsidR="00DE7AE5">
        <w:rPr>
          <w:rFonts w:ascii="Times New Roman" w:hAnsi="Times New Roman" w:cs="Times New Roman"/>
          <w:bCs/>
          <w:lang w:val="es-ES_tradnl"/>
        </w:rPr>
        <w:t>E</w:t>
      </w:r>
      <w:r w:rsidRPr="004819B1">
        <w:rPr>
          <w:rFonts w:ascii="Times New Roman" w:hAnsi="Times New Roman" w:cs="Times New Roman"/>
          <w:bCs/>
          <w:lang w:val="es-ES_tradnl"/>
        </w:rPr>
        <w:t xml:space="preserve">l diseño estratégico es entendido como “el uso de los principios y prácticas del diseño para guiar el desarrollo e implementación de estrategias hacia resultados innovadores que beneficien a las personas y a las organizaciones” (Calabretta et al. 2016). La definición deja ver que, por un lado, se toman cosas determinadas e incluso centrales como los principios del diseño, para por el otro, guiar estrategias, momento en que se erosionan los procesos, personas y problemas, dando lugar por consiguiente a productos poco tangibles. La erosión en los productos significa la no-predeterminación de los resultados del proceso de diseño, así como una gran variedad de tipos y alcances y de grados de intangibilidad de los mismos. </w:t>
      </w:r>
    </w:p>
    <w:p w14:paraId="2CCD4FB6" w14:textId="77777777" w:rsidR="004819B1" w:rsidRPr="004819B1" w:rsidRDefault="004819B1" w:rsidP="004819B1">
      <w:pPr>
        <w:spacing w:line="360" w:lineRule="auto"/>
        <w:rPr>
          <w:rFonts w:ascii="Times New Roman" w:hAnsi="Times New Roman" w:cs="Times New Roman"/>
          <w:bCs/>
          <w:lang w:val="es-ES_tradnl"/>
        </w:rPr>
      </w:pPr>
    </w:p>
    <w:p w14:paraId="5B77D2BB" w14:textId="77777777" w:rsidR="004819B1" w:rsidRPr="004819B1" w:rsidRDefault="004819B1" w:rsidP="004819B1">
      <w:pPr>
        <w:spacing w:line="360" w:lineRule="auto"/>
        <w:rPr>
          <w:rFonts w:ascii="Times New Roman" w:hAnsi="Times New Roman" w:cs="Times New Roman"/>
          <w:b/>
          <w:bCs/>
          <w:lang w:val="es-ES_tradnl"/>
        </w:rPr>
      </w:pPr>
      <w:r w:rsidRPr="004819B1">
        <w:rPr>
          <w:rFonts w:ascii="Times New Roman" w:hAnsi="Times New Roman" w:cs="Times New Roman"/>
          <w:b/>
          <w:bCs/>
          <w:lang w:val="es-ES_tradnl"/>
        </w:rPr>
        <w:t>4. Liderazgo y otras habilidades para Diseñar sin manos.</w:t>
      </w:r>
    </w:p>
    <w:p w14:paraId="1EDC3311" w14:textId="7822E421" w:rsidR="004819B1" w:rsidRPr="004819B1" w:rsidRDefault="00034450" w:rsidP="004819B1">
      <w:pPr>
        <w:spacing w:line="360" w:lineRule="auto"/>
        <w:rPr>
          <w:rFonts w:ascii="Times New Roman" w:hAnsi="Times New Roman" w:cs="Times New Roman"/>
          <w:bCs/>
          <w:lang w:val="es-ES_tradnl"/>
        </w:rPr>
      </w:pPr>
      <w:r>
        <w:rPr>
          <w:rFonts w:ascii="Times New Roman" w:hAnsi="Times New Roman" w:cs="Times New Roman"/>
          <w:bCs/>
          <w:lang w:val="es-ES_tradnl"/>
        </w:rPr>
        <w:t>Actualmente</w:t>
      </w:r>
      <w:r w:rsidR="004819B1" w:rsidRPr="004819B1">
        <w:rPr>
          <w:rFonts w:ascii="Times New Roman" w:hAnsi="Times New Roman" w:cs="Times New Roman"/>
          <w:bCs/>
          <w:lang w:val="es-ES_tradnl"/>
        </w:rPr>
        <w:t xml:space="preserve"> los diseñadores necesitan hacerse más responsables de los alcances del diseño y colaborar en el liderazgo </w:t>
      </w:r>
      <w:r>
        <w:rPr>
          <w:rFonts w:ascii="Times New Roman" w:hAnsi="Times New Roman" w:cs="Times New Roman"/>
          <w:bCs/>
          <w:lang w:val="es-ES_tradnl"/>
        </w:rPr>
        <w:t xml:space="preserve">empresarial </w:t>
      </w:r>
      <w:r w:rsidR="004819B1" w:rsidRPr="004819B1">
        <w:rPr>
          <w:rFonts w:ascii="Times New Roman" w:hAnsi="Times New Roman" w:cs="Times New Roman"/>
          <w:bCs/>
          <w:lang w:val="es-ES_tradnl"/>
        </w:rPr>
        <w:t xml:space="preserve">para hacer frente a un mercado que cambia rápida y constantemente (Hargadon, 2010, p.34). Papanek (1972) </w:t>
      </w:r>
      <w:r>
        <w:rPr>
          <w:rFonts w:ascii="Times New Roman" w:hAnsi="Times New Roman" w:cs="Times New Roman"/>
          <w:bCs/>
          <w:lang w:val="es-ES_tradnl"/>
        </w:rPr>
        <w:t>insistía en la</w:t>
      </w:r>
      <w:r w:rsidR="004819B1" w:rsidRPr="004819B1">
        <w:rPr>
          <w:rFonts w:ascii="Times New Roman" w:hAnsi="Times New Roman" w:cs="Times New Roman"/>
          <w:bCs/>
          <w:lang w:val="es-ES_tradnl"/>
        </w:rPr>
        <w:t xml:space="preserve"> capacidad de planeación del diseño </w:t>
      </w:r>
      <w:r>
        <w:rPr>
          <w:rFonts w:ascii="Times New Roman" w:hAnsi="Times New Roman" w:cs="Times New Roman"/>
          <w:bCs/>
          <w:lang w:val="es-ES_tradnl"/>
        </w:rPr>
        <w:t>y su</w:t>
      </w:r>
      <w:r w:rsidR="004819B1" w:rsidRPr="004819B1">
        <w:rPr>
          <w:rFonts w:ascii="Times New Roman" w:hAnsi="Times New Roman" w:cs="Times New Roman"/>
          <w:bCs/>
          <w:lang w:val="es-ES_tradnl"/>
        </w:rPr>
        <w:t xml:space="preserve"> naturaleza integral, ya que “trata de considerar todos los factores y modulaciones necesarias hacia un proceso de toma de decisiones” (1972, p. 320). Desde entonces, la perspectiva del </w:t>
      </w:r>
      <w:r w:rsidR="004819B1" w:rsidRPr="004819B1">
        <w:rPr>
          <w:rFonts w:ascii="Times New Roman" w:hAnsi="Times New Roman" w:cs="Times New Roman"/>
          <w:bCs/>
          <w:i/>
          <w:iCs/>
          <w:lang w:val="es-ES_tradnl"/>
        </w:rPr>
        <w:t>design managment</w:t>
      </w:r>
      <w:r w:rsidR="004819B1" w:rsidRPr="004819B1">
        <w:rPr>
          <w:rFonts w:ascii="Times New Roman" w:hAnsi="Times New Roman" w:cs="Times New Roman"/>
          <w:bCs/>
          <w:lang w:val="es-ES_tradnl"/>
        </w:rPr>
        <w:t xml:space="preserve">, o gestión del diseño, ha buscado mejorar la integración de las funciones del diseño en las empresas, como un apoyo en la toma de decisiones (Viladas, 2010). Para ello, se requieren profesionales con habilidades que quizá no han sido centrales en diseñadores. </w:t>
      </w:r>
      <w:r>
        <w:rPr>
          <w:rFonts w:ascii="Times New Roman" w:hAnsi="Times New Roman" w:cs="Times New Roman"/>
          <w:bCs/>
          <w:lang w:val="es-ES_tradnl"/>
        </w:rPr>
        <w:t>Es decir,</w:t>
      </w:r>
      <w:r w:rsidR="004819B1" w:rsidRPr="004819B1">
        <w:rPr>
          <w:rFonts w:ascii="Times New Roman" w:hAnsi="Times New Roman" w:cs="Times New Roman"/>
          <w:bCs/>
          <w:lang w:val="es-ES_tradnl"/>
        </w:rPr>
        <w:t xml:space="preserve"> además del set de habilidades necesarias para diseñar, se necesita incorporar otro set para pensar, planear, liderar y tomar decisiones, </w:t>
      </w:r>
      <w:r>
        <w:rPr>
          <w:rFonts w:ascii="Times New Roman" w:hAnsi="Times New Roman" w:cs="Times New Roman"/>
          <w:bCs/>
          <w:lang w:val="es-ES_tradnl"/>
        </w:rPr>
        <w:t>o sea</w:t>
      </w:r>
      <w:r w:rsidR="004819B1" w:rsidRPr="004819B1">
        <w:rPr>
          <w:rFonts w:ascii="Times New Roman" w:hAnsi="Times New Roman" w:cs="Times New Roman"/>
          <w:bCs/>
          <w:lang w:val="es-ES_tradnl"/>
        </w:rPr>
        <w:t xml:space="preserve"> Diseñar sin manos. Los retos a los que se enfrentan actualmente las organizaciones requieren de profesionales que puedan colaborar con otras disciplinas y adaptarse. </w:t>
      </w:r>
      <w:r>
        <w:rPr>
          <w:rFonts w:ascii="Times New Roman" w:hAnsi="Times New Roman" w:cs="Times New Roman"/>
          <w:bCs/>
          <w:lang w:val="es-ES_tradnl"/>
        </w:rPr>
        <w:t>Una</w:t>
      </w:r>
      <w:r w:rsidR="004819B1" w:rsidRPr="004819B1">
        <w:rPr>
          <w:rFonts w:ascii="Times New Roman" w:hAnsi="Times New Roman" w:cs="Times New Roman"/>
          <w:bCs/>
          <w:lang w:val="es-ES_tradnl"/>
        </w:rPr>
        <w:t xml:space="preserve"> formación profesional super-especializada </w:t>
      </w:r>
      <w:r>
        <w:rPr>
          <w:rFonts w:ascii="Times New Roman" w:hAnsi="Times New Roman" w:cs="Times New Roman"/>
          <w:bCs/>
          <w:lang w:val="es-ES_tradnl"/>
        </w:rPr>
        <w:t>ahora es</w:t>
      </w:r>
      <w:r w:rsidR="004819B1" w:rsidRPr="004819B1">
        <w:rPr>
          <w:rFonts w:ascii="Times New Roman" w:hAnsi="Times New Roman" w:cs="Times New Roman"/>
          <w:bCs/>
          <w:lang w:val="es-ES_tradnl"/>
        </w:rPr>
        <w:t xml:space="preserve"> menos necesaria. De acuerdo con Steve </w:t>
      </w:r>
      <w:r w:rsidR="004819B1" w:rsidRPr="004819B1">
        <w:rPr>
          <w:rFonts w:ascii="Times New Roman" w:hAnsi="Times New Roman" w:cs="Times New Roman"/>
          <w:bCs/>
          <w:lang w:val="es-ES_tradnl"/>
        </w:rPr>
        <w:lastRenderedPageBreak/>
        <w:t xml:space="preserve">Mann (Bataille, 2013), hoy en día se requieren profesionales capacitados en forma de árbol. Su propuesta </w:t>
      </w:r>
      <w:r>
        <w:rPr>
          <w:rFonts w:ascii="Times New Roman" w:hAnsi="Times New Roman" w:cs="Times New Roman"/>
          <w:bCs/>
          <w:lang w:val="es-ES_tradnl"/>
        </w:rPr>
        <w:t xml:space="preserve">parte </w:t>
      </w:r>
      <w:r w:rsidR="004819B1" w:rsidRPr="004819B1">
        <w:rPr>
          <w:rFonts w:ascii="Times New Roman" w:hAnsi="Times New Roman" w:cs="Times New Roman"/>
          <w:bCs/>
          <w:lang w:val="es-ES_tradnl"/>
        </w:rPr>
        <w:t xml:space="preserve">del esquema de David Guest, quien </w:t>
      </w:r>
      <w:r>
        <w:rPr>
          <w:rFonts w:ascii="Times New Roman" w:hAnsi="Times New Roman" w:cs="Times New Roman"/>
          <w:bCs/>
          <w:lang w:val="es-ES_tradnl"/>
        </w:rPr>
        <w:t>proponía</w:t>
      </w:r>
      <w:r w:rsidR="004819B1" w:rsidRPr="004819B1">
        <w:rPr>
          <w:rFonts w:ascii="Times New Roman" w:hAnsi="Times New Roman" w:cs="Times New Roman"/>
          <w:bCs/>
          <w:lang w:val="es-ES_tradnl"/>
        </w:rPr>
        <w:t xml:space="preserve"> profesionales en forma de T (Baratta, 2017). Ésta, se refiere a que los profesionales actuales deberían tener conocimiento de distintas áreas para colaborar de forma multidisciplinar – representado por la barra horizonal de la T – (figura 2), y al mismo tiempo tener un conocimiento y </w:t>
      </w:r>
      <w:r w:rsidR="004819B1" w:rsidRPr="004819B1">
        <w:rPr>
          <w:rFonts w:ascii="Times New Roman" w:hAnsi="Times New Roman" w:cs="Times New Roman"/>
          <w:bCs/>
          <w:i/>
          <w:iCs/>
          <w:lang w:val="es-ES_tradnl"/>
        </w:rPr>
        <w:t>expertise</w:t>
      </w:r>
      <w:r w:rsidR="004819B1" w:rsidRPr="004819B1">
        <w:rPr>
          <w:rFonts w:ascii="Times New Roman" w:hAnsi="Times New Roman" w:cs="Times New Roman"/>
          <w:bCs/>
          <w:lang w:val="es-ES_tradnl"/>
        </w:rPr>
        <w:t xml:space="preserve"> profundo sobre una disciplina en particular como el diseño – representado por la barra vertical de la T. En cambio, una forma de árbol, </w:t>
      </w:r>
      <w:r w:rsidR="000A5C77">
        <w:rPr>
          <w:rFonts w:ascii="Times New Roman" w:hAnsi="Times New Roman" w:cs="Times New Roman"/>
          <w:bCs/>
          <w:lang w:val="es-ES_tradnl"/>
        </w:rPr>
        <w:t>promueve</w:t>
      </w:r>
      <w:r w:rsidR="004819B1" w:rsidRPr="004819B1">
        <w:rPr>
          <w:rFonts w:ascii="Times New Roman" w:hAnsi="Times New Roman" w:cs="Times New Roman"/>
          <w:bCs/>
          <w:lang w:val="es-ES_tradnl"/>
        </w:rPr>
        <w:t xml:space="preserve"> el desarrollo en distintas áreas disciplinares – que son las ramas del árbol -, y también </w:t>
      </w:r>
      <w:r w:rsidR="004819B1" w:rsidRPr="004819B1">
        <w:rPr>
          <w:rFonts w:ascii="Times New Roman" w:hAnsi="Times New Roman" w:cs="Times New Roman"/>
          <w:bCs/>
          <w:i/>
          <w:iCs/>
          <w:lang w:val="es-ES_tradnl"/>
        </w:rPr>
        <w:t>expertise</w:t>
      </w:r>
      <w:r w:rsidR="004819B1" w:rsidRPr="004819B1">
        <w:rPr>
          <w:rFonts w:ascii="Times New Roman" w:hAnsi="Times New Roman" w:cs="Times New Roman"/>
          <w:bCs/>
          <w:lang w:val="es-ES_tradnl"/>
        </w:rPr>
        <w:t xml:space="preserve"> en distintas direccione</w:t>
      </w:r>
      <w:r w:rsidR="000A5C77">
        <w:rPr>
          <w:rFonts w:ascii="Times New Roman" w:hAnsi="Times New Roman" w:cs="Times New Roman"/>
          <w:bCs/>
          <w:lang w:val="es-ES_tradnl"/>
        </w:rPr>
        <w:t>s, que son las raíces del árbol.</w:t>
      </w:r>
      <w:r w:rsidR="004819B1" w:rsidRPr="004819B1">
        <w:rPr>
          <w:rFonts w:ascii="Times New Roman" w:hAnsi="Times New Roman" w:cs="Times New Roman"/>
          <w:bCs/>
          <w:lang w:val="es-ES_tradnl"/>
        </w:rPr>
        <w:t xml:space="preserve"> En otras palabras, se necesita una formación rizomática. </w:t>
      </w:r>
    </w:p>
    <w:p w14:paraId="009FD292" w14:textId="77777777" w:rsidR="004819B1" w:rsidRPr="004819B1" w:rsidRDefault="004819B1" w:rsidP="004819B1">
      <w:pPr>
        <w:spacing w:line="360" w:lineRule="auto"/>
        <w:rPr>
          <w:rFonts w:ascii="Times New Roman" w:hAnsi="Times New Roman" w:cs="Times New Roman"/>
          <w:bCs/>
          <w:lang w:val="es-ES_tradnl"/>
        </w:rPr>
      </w:pPr>
    </w:p>
    <w:p w14:paraId="0E5DD1C8" w14:textId="4C892412" w:rsidR="004819B1" w:rsidRPr="004819B1" w:rsidRDefault="004819B1" w:rsidP="004819B1">
      <w:pPr>
        <w:spacing w:line="360" w:lineRule="auto"/>
        <w:jc w:val="center"/>
        <w:rPr>
          <w:rFonts w:ascii="Times New Roman" w:hAnsi="Times New Roman" w:cs="Times New Roman"/>
          <w:bCs/>
          <w:sz w:val="18"/>
          <w:szCs w:val="18"/>
          <w:lang w:val="es-ES_tradnl"/>
        </w:rPr>
      </w:pPr>
      <w:r w:rsidRPr="004819B1">
        <w:rPr>
          <w:rFonts w:ascii="Times New Roman" w:hAnsi="Times New Roman" w:cs="Times New Roman"/>
          <w:bCs/>
          <w:noProof/>
          <w:sz w:val="18"/>
          <w:szCs w:val="18"/>
          <w:lang w:eastAsia="es-MX"/>
        </w:rPr>
        <w:drawing>
          <wp:inline distT="0" distB="0" distL="0" distR="0" wp14:anchorId="5757B110" wp14:editId="5A308947">
            <wp:extent cx="4630521" cy="2163948"/>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image2.png"/>
                    <pic:cNvPicPr>
                      <a:picLocks noChangeAspect="1"/>
                    </pic:cNvPicPr>
                  </pic:nvPicPr>
                  <pic:blipFill>
                    <a:blip r:embed="rId13"/>
                    <a:stretch>
                      <a:fillRect/>
                    </a:stretch>
                  </pic:blipFill>
                  <pic:spPr>
                    <a:xfrm>
                      <a:off x="0" y="0"/>
                      <a:ext cx="4630521" cy="2163948"/>
                    </a:xfrm>
                    <a:prstGeom prst="rect">
                      <a:avLst/>
                    </a:prstGeom>
                    <a:ln w="12700" cap="flat">
                      <a:noFill/>
                      <a:miter lim="400000"/>
                    </a:ln>
                    <a:effectLst/>
                  </pic:spPr>
                </pic:pic>
              </a:graphicData>
            </a:graphic>
          </wp:inline>
        </w:drawing>
      </w:r>
      <w:r w:rsidRPr="004819B1">
        <w:rPr>
          <w:rFonts w:ascii="Times New Roman" w:hAnsi="Times New Roman" w:cs="Times New Roman"/>
          <w:bCs/>
          <w:sz w:val="18"/>
          <w:szCs w:val="18"/>
          <w:lang w:val="es-ES_tradnl"/>
        </w:rPr>
        <w:br/>
        <w:t>Figura 2. Diferencia entre esquemas de habilidades profesionales tipo T y árbol.</w:t>
      </w:r>
      <w:r w:rsidR="00F800C6">
        <w:rPr>
          <w:rFonts w:ascii="Times New Roman" w:hAnsi="Times New Roman" w:cs="Times New Roman"/>
          <w:bCs/>
          <w:sz w:val="18"/>
          <w:szCs w:val="18"/>
          <w:lang w:val="es-ES_tradnl"/>
        </w:rPr>
        <w:t xml:space="preserve"> Elaboración propia (septiembre 2020).</w:t>
      </w:r>
    </w:p>
    <w:p w14:paraId="4045959D" w14:textId="77777777" w:rsidR="004819B1" w:rsidRPr="004819B1" w:rsidRDefault="004819B1" w:rsidP="004819B1">
      <w:pPr>
        <w:spacing w:line="360" w:lineRule="auto"/>
        <w:rPr>
          <w:rFonts w:ascii="Times New Roman" w:hAnsi="Times New Roman" w:cs="Times New Roman"/>
          <w:bCs/>
          <w:lang w:val="es-ES_tradnl"/>
        </w:rPr>
      </w:pPr>
    </w:p>
    <w:p w14:paraId="4889709A" w14:textId="71977A67"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Simpson (2014) también propone super</w:t>
      </w:r>
      <w:r w:rsidR="000A5C77">
        <w:rPr>
          <w:rFonts w:ascii="Times New Roman" w:hAnsi="Times New Roman" w:cs="Times New Roman"/>
          <w:bCs/>
          <w:lang w:val="es-ES_tradnl"/>
        </w:rPr>
        <w:t>ar la forma de profesionales T y mirar a l</w:t>
      </w:r>
      <w:r w:rsidRPr="004819B1">
        <w:rPr>
          <w:rFonts w:ascii="Times New Roman" w:hAnsi="Times New Roman" w:cs="Times New Roman"/>
          <w:bCs/>
          <w:lang w:val="es-ES_tradnl"/>
        </w:rPr>
        <w:t xml:space="preserve">a Generación Flux ó fluida, definida por una mentalidad que abraza la inestabilidad, y “disfruta recalibrar carreras profesionales, modelos de negocio y supuestos o preconcepciones” (Safian, </w:t>
      </w:r>
      <w:commentRangeStart w:id="7"/>
      <w:r w:rsidRPr="004819B1">
        <w:rPr>
          <w:rFonts w:ascii="Times New Roman" w:hAnsi="Times New Roman" w:cs="Times New Roman"/>
          <w:bCs/>
          <w:lang w:val="es-ES_tradnl"/>
        </w:rPr>
        <w:t>2012</w:t>
      </w:r>
      <w:commentRangeEnd w:id="7"/>
      <w:r w:rsidR="00F8791C">
        <w:rPr>
          <w:rStyle w:val="Refdecomentario"/>
        </w:rPr>
        <w:commentReference w:id="7"/>
      </w:r>
      <w:r w:rsidRPr="004819B1">
        <w:rPr>
          <w:rFonts w:ascii="Times New Roman" w:hAnsi="Times New Roman" w:cs="Times New Roman"/>
          <w:bCs/>
          <w:lang w:val="es-ES_tradnl"/>
        </w:rPr>
        <w:t xml:space="preserve">). </w:t>
      </w:r>
      <w:r w:rsidR="000A5C77">
        <w:rPr>
          <w:rFonts w:ascii="Times New Roman" w:hAnsi="Times New Roman" w:cs="Times New Roman"/>
          <w:bCs/>
          <w:lang w:val="es-ES_tradnl"/>
        </w:rPr>
        <w:t xml:space="preserve">Estamos ante una </w:t>
      </w:r>
      <w:r w:rsidRPr="004819B1">
        <w:rPr>
          <w:rFonts w:ascii="Times New Roman" w:hAnsi="Times New Roman" w:cs="Times New Roman"/>
          <w:bCs/>
          <w:lang w:val="es-ES_tradnl"/>
        </w:rPr>
        <w:t xml:space="preserve">“era en la que la habilidad más importante es la capacidad de adquirir nuevas habilidades” (Safian, </w:t>
      </w:r>
      <w:commentRangeStart w:id="8"/>
      <w:r w:rsidRPr="004819B1">
        <w:rPr>
          <w:rFonts w:ascii="Times New Roman" w:hAnsi="Times New Roman" w:cs="Times New Roman"/>
          <w:bCs/>
          <w:lang w:val="es-ES_tradnl"/>
        </w:rPr>
        <w:t>2012</w:t>
      </w:r>
      <w:commentRangeEnd w:id="8"/>
      <w:r w:rsidR="00F8791C">
        <w:rPr>
          <w:rStyle w:val="Refdecomentario"/>
        </w:rPr>
        <w:commentReference w:id="8"/>
      </w:r>
      <w:r w:rsidRPr="004819B1">
        <w:rPr>
          <w:rFonts w:ascii="Times New Roman" w:hAnsi="Times New Roman" w:cs="Times New Roman"/>
          <w:bCs/>
          <w:lang w:val="es-ES_tradnl"/>
        </w:rPr>
        <w:t xml:space="preserve">). Los profesionales de la Generación Flux, tratarán de ganar tantas habilidades como les sea posible, por eso es probable que sean los primeros en querer participar en nuevos proyectos que les representen un reto (Hill, 2016). </w:t>
      </w:r>
      <w:r w:rsidR="000A5C77">
        <w:rPr>
          <w:rFonts w:ascii="Times New Roman" w:hAnsi="Times New Roman" w:cs="Times New Roman"/>
          <w:bCs/>
          <w:lang w:val="es-ES_tradnl"/>
        </w:rPr>
        <w:t xml:space="preserve">Así, en la </w:t>
      </w:r>
      <w:commentRangeStart w:id="9"/>
      <w:r w:rsidR="000A5C77">
        <w:rPr>
          <w:rFonts w:ascii="Times New Roman" w:hAnsi="Times New Roman" w:cs="Times New Roman"/>
          <w:bCs/>
          <w:lang w:val="es-ES_tradnl"/>
        </w:rPr>
        <w:t>acualidad</w:t>
      </w:r>
      <w:commentRangeEnd w:id="9"/>
      <w:r w:rsidR="00F8791C">
        <w:rPr>
          <w:rStyle w:val="Refdecomentario"/>
        </w:rPr>
        <w:commentReference w:id="9"/>
      </w:r>
      <w:r w:rsidR="000A5C77">
        <w:rPr>
          <w:rFonts w:ascii="Times New Roman" w:hAnsi="Times New Roman" w:cs="Times New Roman"/>
          <w:bCs/>
          <w:lang w:val="es-ES_tradnl"/>
        </w:rPr>
        <w:t xml:space="preserve"> los mejores diseñadores serán</w:t>
      </w:r>
      <w:r w:rsidRPr="004819B1">
        <w:rPr>
          <w:rFonts w:ascii="Times New Roman" w:hAnsi="Times New Roman" w:cs="Times New Roman"/>
          <w:bCs/>
          <w:lang w:val="es-ES_tradnl"/>
        </w:rPr>
        <w:t xml:space="preserve"> aquellos capaces de “desarrollar un amplio set de habilidades y conocimiento y que luego sepan cómo contextualizarlo” (Neely et al., 2020, p.5).</w:t>
      </w:r>
    </w:p>
    <w:p w14:paraId="5BB1ADE4" w14:textId="77777777" w:rsidR="004819B1" w:rsidRPr="004819B1" w:rsidRDefault="004819B1" w:rsidP="004819B1">
      <w:pPr>
        <w:spacing w:line="360" w:lineRule="auto"/>
        <w:rPr>
          <w:rFonts w:ascii="Times New Roman" w:hAnsi="Times New Roman" w:cs="Times New Roman"/>
          <w:bCs/>
          <w:lang w:val="es-ES_tradnl"/>
        </w:rPr>
      </w:pPr>
    </w:p>
    <w:p w14:paraId="4A68FDE3" w14:textId="262A5CE5" w:rsidR="004819B1" w:rsidRPr="004819B1" w:rsidRDefault="000A5C77" w:rsidP="004819B1">
      <w:pPr>
        <w:spacing w:line="360" w:lineRule="auto"/>
        <w:rPr>
          <w:rFonts w:ascii="Times New Roman" w:hAnsi="Times New Roman" w:cs="Times New Roman"/>
          <w:bCs/>
          <w:lang w:val="es-ES_tradnl"/>
        </w:rPr>
      </w:pPr>
      <w:r>
        <w:rPr>
          <w:rFonts w:ascii="Times New Roman" w:hAnsi="Times New Roman" w:cs="Times New Roman"/>
          <w:bCs/>
          <w:lang w:val="es-ES_tradnl"/>
        </w:rPr>
        <w:t xml:space="preserve">Estamos ante un escenario en el que están surgiendo nuevos campos del diseño que requieren </w:t>
      </w:r>
      <w:r w:rsidR="004819B1" w:rsidRPr="004819B1">
        <w:rPr>
          <w:rFonts w:ascii="Times New Roman" w:hAnsi="Times New Roman" w:cs="Times New Roman"/>
          <w:bCs/>
          <w:lang w:val="es-ES_tradnl"/>
        </w:rPr>
        <w:t xml:space="preserve">profesionales con una capacidad más allá del dominio de destrezas y técnicas manuales, </w:t>
      </w:r>
      <w:r>
        <w:rPr>
          <w:rFonts w:ascii="Times New Roman" w:hAnsi="Times New Roman" w:cs="Times New Roman"/>
          <w:bCs/>
          <w:lang w:val="es-ES_tradnl"/>
        </w:rPr>
        <w:t>es decir</w:t>
      </w:r>
      <w:r w:rsidR="004819B1" w:rsidRPr="004819B1">
        <w:rPr>
          <w:rFonts w:ascii="Times New Roman" w:hAnsi="Times New Roman" w:cs="Times New Roman"/>
          <w:bCs/>
          <w:lang w:val="es-ES_tradnl"/>
        </w:rPr>
        <w:t xml:space="preserve"> habilidades para Diseñar sin manos. P</w:t>
      </w:r>
      <w:r>
        <w:rPr>
          <w:rFonts w:ascii="Times New Roman" w:hAnsi="Times New Roman" w:cs="Times New Roman"/>
          <w:bCs/>
          <w:lang w:val="es-ES_tradnl"/>
        </w:rPr>
        <w:t>or</w:t>
      </w:r>
      <w:r w:rsidR="004819B1" w:rsidRPr="004819B1">
        <w:rPr>
          <w:rFonts w:ascii="Times New Roman" w:hAnsi="Times New Roman" w:cs="Times New Roman"/>
          <w:bCs/>
          <w:lang w:val="es-ES_tradnl"/>
        </w:rPr>
        <w:t xml:space="preserve"> ello, se realizó una investigación documental, a partir de la revisión de artículos publicados en bases de datos, principalmente en revistas indexadas. Así, se contó con un corpus amplio de prácticas para-disciplinares que directa o indirectamente hacen referencia a un nuevo set de habilidades necesarias en los profesionales del diseño. Además de los documentos citados previamente se incorporaron perspectivas desde el diseño transicional (Costa y García, 2015; Irwin, 2015, 2019), diseño de experiencias (Neely et al., 2020), diseño de servicios (Sebek y Jones, 2020), diseño sustentable, (Stivale, 2020; Encino, 2019), la perspectiva de sistemas en el diseño (López-León, Encino, 2020; Vignati et al., 2017), y gestión y diseño </w:t>
      </w:r>
      <w:r w:rsidR="004819B1" w:rsidRPr="004819B1">
        <w:rPr>
          <w:rFonts w:ascii="Times New Roman" w:hAnsi="Times New Roman" w:cs="Times New Roman"/>
          <w:bCs/>
          <w:lang w:val="es-ES_tradnl"/>
        </w:rPr>
        <w:lastRenderedPageBreak/>
        <w:t xml:space="preserve">estratégico (Topaloglu y Err, 2017). </w:t>
      </w:r>
      <w:r>
        <w:rPr>
          <w:rFonts w:ascii="Times New Roman" w:hAnsi="Times New Roman" w:cs="Times New Roman"/>
          <w:bCs/>
          <w:lang w:val="es-ES_tradnl"/>
        </w:rPr>
        <w:t>Se lograron</w:t>
      </w:r>
      <w:r w:rsidR="004819B1" w:rsidRPr="004819B1">
        <w:rPr>
          <w:rFonts w:ascii="Times New Roman" w:hAnsi="Times New Roman" w:cs="Times New Roman"/>
          <w:bCs/>
          <w:lang w:val="es-ES_tradnl"/>
        </w:rPr>
        <w:t xml:space="preserve"> identificar 20 habilidades en las que se insiste en los discursos de las prácticas para-disciplinares, que podrían representar un punto de partida para Diseñar sin manos. Las mismas </w:t>
      </w:r>
      <w:r>
        <w:rPr>
          <w:rFonts w:ascii="Times New Roman" w:hAnsi="Times New Roman" w:cs="Times New Roman"/>
          <w:bCs/>
          <w:lang w:val="es-ES_tradnl"/>
        </w:rPr>
        <w:t>fueron</w:t>
      </w:r>
      <w:r w:rsidR="004819B1" w:rsidRPr="004819B1">
        <w:rPr>
          <w:rFonts w:ascii="Times New Roman" w:hAnsi="Times New Roman" w:cs="Times New Roman"/>
          <w:bCs/>
          <w:lang w:val="es-ES_tradnl"/>
        </w:rPr>
        <w:t xml:space="preserve"> organizadas en 4 grupos </w:t>
      </w:r>
      <w:r>
        <w:rPr>
          <w:rFonts w:ascii="Times New Roman" w:hAnsi="Times New Roman" w:cs="Times New Roman"/>
          <w:bCs/>
          <w:lang w:val="es-ES_tradnl"/>
        </w:rPr>
        <w:t>principales.</w:t>
      </w:r>
    </w:p>
    <w:p w14:paraId="38E0C32F" w14:textId="77777777" w:rsidR="004819B1" w:rsidRPr="004819B1" w:rsidRDefault="004819B1" w:rsidP="004819B1">
      <w:pPr>
        <w:spacing w:line="360" w:lineRule="auto"/>
        <w:rPr>
          <w:rFonts w:ascii="Times New Roman" w:hAnsi="Times New Roman" w:cs="Times New Roman"/>
          <w:bCs/>
          <w:lang w:val="es-ES_tradnl"/>
        </w:rPr>
      </w:pPr>
    </w:p>
    <w:p w14:paraId="21ACB41F" w14:textId="77777777"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i/>
          <w:iCs/>
          <w:lang w:val="es-ES_tradnl"/>
        </w:rPr>
        <w:t>Disposición activa y performance. Este set de habilidades enfatiza el aspecto proactivo en la actitud y desempeño del profesional del diseño.</w:t>
      </w:r>
    </w:p>
    <w:p w14:paraId="7986DF20"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Mentalidad experimental</w:t>
      </w:r>
    </w:p>
    <w:p w14:paraId="462AD4F9"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Aprender del fracaso y estar dispuesto a fallar</w:t>
      </w:r>
    </w:p>
    <w:p w14:paraId="74392228"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Comunicar, participar, proponer y contribuir ideas significativas a una conversación</w:t>
      </w:r>
    </w:p>
    <w:p w14:paraId="4EE0403B"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Flexibilidad y adaptación </w:t>
      </w:r>
    </w:p>
    <w:p w14:paraId="0C0D0043"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Apertura a escenarios cambiantes y mantener la idea de que el diseño es iterativo, de final abierto, siempre con la posibilidad de mejorarse</w:t>
      </w:r>
    </w:p>
    <w:p w14:paraId="69CFC23C"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Conciencia social, ambiental, inclusiva, ética y responsabilidad</w:t>
      </w:r>
    </w:p>
    <w:p w14:paraId="625B64F7"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Mirada hacia el futuro, prevenir los cambios, planear para situaciones venideras</w:t>
      </w:r>
    </w:p>
    <w:p w14:paraId="673D4A85" w14:textId="77777777" w:rsidR="004819B1" w:rsidRPr="004819B1" w:rsidRDefault="004819B1" w:rsidP="004819B1">
      <w:pPr>
        <w:spacing w:line="360" w:lineRule="auto"/>
        <w:rPr>
          <w:rFonts w:ascii="Times New Roman" w:hAnsi="Times New Roman" w:cs="Times New Roman"/>
          <w:bCs/>
          <w:lang w:val="es-ES_tradnl"/>
        </w:rPr>
      </w:pPr>
    </w:p>
    <w:p w14:paraId="3560B4A5" w14:textId="77777777" w:rsidR="004819B1" w:rsidRPr="004819B1" w:rsidRDefault="004819B1" w:rsidP="004819B1">
      <w:pPr>
        <w:spacing w:line="360" w:lineRule="auto"/>
        <w:rPr>
          <w:rFonts w:ascii="Times New Roman" w:hAnsi="Times New Roman" w:cs="Times New Roman"/>
          <w:bCs/>
          <w:i/>
          <w:iCs/>
          <w:lang w:val="es-ES_tradnl"/>
        </w:rPr>
      </w:pPr>
      <w:r w:rsidRPr="004819B1">
        <w:rPr>
          <w:rFonts w:ascii="Times New Roman" w:hAnsi="Times New Roman" w:cs="Times New Roman"/>
          <w:bCs/>
          <w:i/>
          <w:iCs/>
          <w:lang w:val="es-ES_tradnl"/>
        </w:rPr>
        <w:t xml:space="preserve">Análisis y comprensión del contexto. Las habilidades aquí descritas enfatizan el pensamiento sistémico y la capacidad de entender interconexiones entre distintas variables y situaciones. </w:t>
      </w:r>
    </w:p>
    <w:p w14:paraId="59FF0019" w14:textId="77777777" w:rsidR="004819B1" w:rsidRPr="004819B1" w:rsidRDefault="004819B1" w:rsidP="004819B1">
      <w:pPr>
        <w:numPr>
          <w:ilvl w:val="0"/>
          <w:numId w:val="9"/>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Analizar, cuestionar y romper paradigmas y sistemas de valores</w:t>
      </w:r>
    </w:p>
    <w:p w14:paraId="26B396FA" w14:textId="77777777" w:rsidR="004819B1" w:rsidRPr="004819B1" w:rsidRDefault="004819B1" w:rsidP="004819B1">
      <w:pPr>
        <w:numPr>
          <w:ilvl w:val="0"/>
          <w:numId w:val="9"/>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Entender, comprender, empatizar con el usuario y su comportamiento</w:t>
      </w:r>
    </w:p>
    <w:p w14:paraId="52B3AAC5" w14:textId="77777777" w:rsidR="004819B1" w:rsidRPr="004819B1" w:rsidRDefault="004819B1" w:rsidP="004819B1">
      <w:pPr>
        <w:numPr>
          <w:ilvl w:val="0"/>
          <w:numId w:val="9"/>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Comprender la interacción e interconectividad de distintos actores, practicar el pensamiento sistémico</w:t>
      </w:r>
    </w:p>
    <w:p w14:paraId="51AB1903" w14:textId="77777777" w:rsidR="004819B1" w:rsidRPr="004819B1" w:rsidRDefault="004819B1" w:rsidP="004819B1">
      <w:pPr>
        <w:numPr>
          <w:ilvl w:val="0"/>
          <w:numId w:val="9"/>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Observar, analizar, sintetizar y evaluar distintos contextos y situaciones</w:t>
      </w:r>
    </w:p>
    <w:p w14:paraId="2BEB72F0" w14:textId="77777777" w:rsidR="004819B1" w:rsidRPr="004819B1" w:rsidRDefault="004819B1" w:rsidP="004819B1">
      <w:pPr>
        <w:spacing w:line="360" w:lineRule="auto"/>
        <w:rPr>
          <w:rFonts w:ascii="Times New Roman" w:hAnsi="Times New Roman" w:cs="Times New Roman"/>
          <w:bCs/>
          <w:i/>
          <w:iCs/>
          <w:lang w:val="es-ES_tradnl"/>
        </w:rPr>
      </w:pPr>
    </w:p>
    <w:p w14:paraId="02A53BC8" w14:textId="77777777" w:rsidR="004819B1" w:rsidRPr="004819B1" w:rsidRDefault="004819B1" w:rsidP="004819B1">
      <w:pPr>
        <w:spacing w:line="360" w:lineRule="auto"/>
        <w:rPr>
          <w:rFonts w:ascii="Times New Roman" w:hAnsi="Times New Roman" w:cs="Times New Roman"/>
          <w:bCs/>
          <w:i/>
          <w:iCs/>
          <w:lang w:val="es-ES_tradnl"/>
        </w:rPr>
      </w:pPr>
      <w:r w:rsidRPr="004819B1">
        <w:rPr>
          <w:rFonts w:ascii="Times New Roman" w:hAnsi="Times New Roman" w:cs="Times New Roman"/>
          <w:bCs/>
          <w:i/>
          <w:iCs/>
          <w:lang w:val="es-ES_tradnl"/>
        </w:rPr>
        <w:t>Relación con los métodos, herramientas y procesos. Este set de habilidades refiere a la capacidad de combinar métodos, herramientas y procesos para encontrar rutas de innovación y mejora al interior de las organizaciones.</w:t>
      </w:r>
    </w:p>
    <w:p w14:paraId="17F30BED" w14:textId="77777777" w:rsidR="004819B1" w:rsidRPr="004819B1" w:rsidRDefault="004819B1" w:rsidP="004819B1">
      <w:pPr>
        <w:numPr>
          <w:ilvl w:val="0"/>
          <w:numId w:val="11"/>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Abrir, cerrar, repetir, transformar el proceso de diseño</w:t>
      </w:r>
    </w:p>
    <w:p w14:paraId="621D3347" w14:textId="77777777" w:rsidR="004819B1" w:rsidRPr="004819B1" w:rsidRDefault="004819B1" w:rsidP="004819B1">
      <w:pPr>
        <w:numPr>
          <w:ilvl w:val="0"/>
          <w:numId w:val="11"/>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Representar, materializar y dar sentido a ideas y escenarios alternativos</w:t>
      </w:r>
    </w:p>
    <w:p w14:paraId="154513C5" w14:textId="77777777" w:rsidR="004819B1" w:rsidRPr="004819B1" w:rsidRDefault="004819B1" w:rsidP="004819B1">
      <w:pPr>
        <w:numPr>
          <w:ilvl w:val="0"/>
          <w:numId w:val="11"/>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Vincular, conectar, adaptar y desarrollar distintos métodos y herramientas para generar distintas soluciones</w:t>
      </w:r>
    </w:p>
    <w:p w14:paraId="16143267" w14:textId="77777777" w:rsidR="004819B1" w:rsidRPr="004819B1" w:rsidRDefault="004819B1" w:rsidP="004819B1">
      <w:pPr>
        <w:numPr>
          <w:ilvl w:val="0"/>
          <w:numId w:val="11"/>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Integrar el diseño, el conocimiento externo y la investigación en procesos organizacionales</w:t>
      </w:r>
    </w:p>
    <w:p w14:paraId="1FDE57FC" w14:textId="77777777" w:rsidR="004819B1" w:rsidRPr="004819B1" w:rsidRDefault="004819B1" w:rsidP="004819B1">
      <w:pPr>
        <w:spacing w:line="360" w:lineRule="auto"/>
        <w:rPr>
          <w:rFonts w:ascii="Times New Roman" w:hAnsi="Times New Roman" w:cs="Times New Roman"/>
          <w:bCs/>
          <w:lang w:val="es-ES_tradnl"/>
        </w:rPr>
      </w:pPr>
    </w:p>
    <w:p w14:paraId="2FE22BB9" w14:textId="77777777" w:rsidR="004819B1" w:rsidRPr="004819B1" w:rsidRDefault="004819B1" w:rsidP="004819B1">
      <w:pPr>
        <w:spacing w:line="360" w:lineRule="auto"/>
        <w:rPr>
          <w:rFonts w:ascii="Times New Roman" w:hAnsi="Times New Roman" w:cs="Times New Roman"/>
          <w:bCs/>
          <w:i/>
          <w:iCs/>
          <w:lang w:val="es-ES_tradnl"/>
        </w:rPr>
      </w:pPr>
      <w:r w:rsidRPr="004819B1">
        <w:rPr>
          <w:rFonts w:ascii="Times New Roman" w:hAnsi="Times New Roman" w:cs="Times New Roman"/>
          <w:bCs/>
          <w:i/>
          <w:iCs/>
          <w:lang w:val="es-ES_tradnl"/>
        </w:rPr>
        <w:t>Liderazgo y gestión. Se refiere a habilidades orientadas al trabajo con distintos equipos y participantes de manera que se puedan guiar procesos creativos y de innovación.</w:t>
      </w:r>
    </w:p>
    <w:p w14:paraId="12B4357F" w14:textId="77777777" w:rsidR="004819B1" w:rsidRPr="004819B1" w:rsidRDefault="004819B1" w:rsidP="004819B1">
      <w:pPr>
        <w:numPr>
          <w:ilvl w:val="0"/>
          <w:numId w:val="13"/>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Orquestar, coordinar, involucrar, consensar entre colaboradores, </w:t>
      </w:r>
      <w:r w:rsidRPr="004819B1">
        <w:rPr>
          <w:rFonts w:ascii="Times New Roman" w:hAnsi="Times New Roman" w:cs="Times New Roman"/>
          <w:bCs/>
          <w:i/>
          <w:iCs/>
          <w:lang w:val="es-ES_tradnl"/>
        </w:rPr>
        <w:t xml:space="preserve">stakeholders </w:t>
      </w:r>
      <w:r w:rsidRPr="004819B1">
        <w:rPr>
          <w:rFonts w:ascii="Times New Roman" w:hAnsi="Times New Roman" w:cs="Times New Roman"/>
          <w:bCs/>
          <w:lang w:val="es-ES_tradnl"/>
        </w:rPr>
        <w:t>y usuarios</w:t>
      </w:r>
    </w:p>
    <w:p w14:paraId="26750216" w14:textId="77777777" w:rsidR="004819B1" w:rsidRPr="004819B1" w:rsidRDefault="004819B1" w:rsidP="004819B1">
      <w:pPr>
        <w:numPr>
          <w:ilvl w:val="0"/>
          <w:numId w:val="13"/>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Colaborar, co-crear, co-diseñar, motivar equipos, promover distintas formas de pensar</w:t>
      </w:r>
    </w:p>
    <w:p w14:paraId="71DDBB43" w14:textId="77777777" w:rsidR="004819B1" w:rsidRPr="004819B1" w:rsidRDefault="004819B1" w:rsidP="004819B1">
      <w:pPr>
        <w:numPr>
          <w:ilvl w:val="0"/>
          <w:numId w:val="13"/>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lastRenderedPageBreak/>
        <w:t>Promover el desarrollo de habilidades entre colaboradores y una cultura de aprendizaje</w:t>
      </w:r>
    </w:p>
    <w:p w14:paraId="6265FF29" w14:textId="77777777" w:rsidR="004819B1" w:rsidRPr="004819B1" w:rsidRDefault="004819B1" w:rsidP="004819B1">
      <w:pPr>
        <w:numPr>
          <w:ilvl w:val="0"/>
          <w:numId w:val="13"/>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Dirigir, guiar, coordinar, orientar procesos creativos, de innovación, planeación, ejecución y evaluación</w:t>
      </w:r>
    </w:p>
    <w:p w14:paraId="7DFAB19D" w14:textId="77777777" w:rsidR="004819B1" w:rsidRPr="004819B1" w:rsidRDefault="004819B1" w:rsidP="004819B1">
      <w:pPr>
        <w:spacing w:line="360" w:lineRule="auto"/>
        <w:rPr>
          <w:rFonts w:ascii="Times New Roman" w:hAnsi="Times New Roman" w:cs="Times New Roman"/>
          <w:bCs/>
          <w:lang w:val="es-ES_tradnl"/>
        </w:rPr>
      </w:pPr>
    </w:p>
    <w:p w14:paraId="157CDF8E" w14:textId="77777777" w:rsidR="004819B1" w:rsidRPr="004819B1" w:rsidRDefault="004819B1" w:rsidP="004819B1">
      <w:pPr>
        <w:spacing w:line="360" w:lineRule="auto"/>
        <w:rPr>
          <w:rFonts w:ascii="Times New Roman" w:hAnsi="Times New Roman" w:cs="Times New Roman"/>
          <w:b/>
          <w:bCs/>
          <w:lang w:val="es-ES_tradnl"/>
        </w:rPr>
      </w:pPr>
      <w:r w:rsidRPr="004819B1">
        <w:rPr>
          <w:rFonts w:ascii="Times New Roman" w:hAnsi="Times New Roman" w:cs="Times New Roman"/>
          <w:b/>
          <w:bCs/>
          <w:lang w:val="es-ES_tradnl"/>
        </w:rPr>
        <w:t>5. Nuevas habilidades ¿nueva formación profesional?</w:t>
      </w:r>
    </w:p>
    <w:p w14:paraId="72990673" w14:textId="16E71B1D"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La educación del diseño no debería dejar fuera las prácticas para-disciplinares y tomarlas para cuestionar los pilares sobre los que se ha construido. </w:t>
      </w:r>
      <w:r w:rsidR="000A5C77">
        <w:rPr>
          <w:rFonts w:ascii="Times New Roman" w:hAnsi="Times New Roman" w:cs="Times New Roman"/>
          <w:bCs/>
          <w:lang w:val="es-ES_tradnl"/>
        </w:rPr>
        <w:t>E</w:t>
      </w:r>
      <w:r w:rsidRPr="004819B1">
        <w:rPr>
          <w:rFonts w:ascii="Times New Roman" w:hAnsi="Times New Roman" w:cs="Times New Roman"/>
          <w:bCs/>
          <w:lang w:val="es-ES_tradnl"/>
        </w:rPr>
        <w:t>s necesario preguntarnos “cómo debería cambiar la educación del diseño para atender los nuevos desarrollos en el campo del diseño” (Muratovksy, 2015, p.139). La tendencia hasta ahora ha sido encontrar con mayor énfasis al D-iseño en estudios de posgrado, diplomados y cursos de extensión, mientras que el d-iseño domina en pregrado, pero las necesidades del entorno laboral actual demandan que los egresados de pregrado ya cuenten con habilidades para el D-iseño, es decir, que tengan la c</w:t>
      </w:r>
      <w:r w:rsidR="000A5C77">
        <w:rPr>
          <w:rFonts w:ascii="Times New Roman" w:hAnsi="Times New Roman" w:cs="Times New Roman"/>
          <w:bCs/>
          <w:lang w:val="es-ES_tradnl"/>
        </w:rPr>
        <w:t>apacidad para Diseñar sin manos</w:t>
      </w:r>
      <w:r w:rsidRPr="004819B1">
        <w:rPr>
          <w:rFonts w:ascii="Times New Roman" w:hAnsi="Times New Roman" w:cs="Times New Roman"/>
          <w:bCs/>
          <w:lang w:val="es-ES_tradnl"/>
        </w:rPr>
        <w:t>. Por eso mismo conviene abrir el debate sobre si es pertinente incorporar cursos en donde el principal resultado no esté condicionado a objetos tangibles, sino a ideas, planes, modelos de negocio, estrategias, y/o sistemas. Una orientación a los programas de estudio desde esta perspectiva podría empezar con enfatizar la conexión mano-diseño en los primeros semestres para luego gradualmente ir desarro</w:t>
      </w:r>
      <w:r w:rsidR="00CE06AB">
        <w:rPr>
          <w:rFonts w:ascii="Times New Roman" w:hAnsi="Times New Roman" w:cs="Times New Roman"/>
          <w:bCs/>
          <w:lang w:val="es-ES_tradnl"/>
        </w:rPr>
        <w:t>llando la conexión mente-diseño</w:t>
      </w:r>
      <w:r w:rsidRPr="004819B1">
        <w:rPr>
          <w:rFonts w:ascii="Times New Roman" w:hAnsi="Times New Roman" w:cs="Times New Roman"/>
          <w:bCs/>
          <w:lang w:val="es-ES_tradnl"/>
        </w:rPr>
        <w:t>. Los programas de estudio que en la etapa final están orientados hacia la profesionalización estarían menos definidos por el producto que se obtiene, y más bien definidos por las habilidades que desarrollan, como innovación estratégica, modelos participativos y co-creación, planeación, anticipación y prospección. No es sorpresa que, para que un profesional del diseño pueda funcionar adecuadamente al insertarse en una empresa requiera también la capacidad de proponer nuevas ideas, adaptarse al cambio, aprender de los errores, mirar hacia el futuro, co-crear y apoyar en la toma de decisiones. Por eso, habría que pensar que la formación con gran énfasis disciplinar en el diseño tiene una fecha de caducidad para permitirnos concebir nuevos enfoques y estrategias que promuevan la evolución de la educación del diseño.</w:t>
      </w:r>
    </w:p>
    <w:p w14:paraId="73996EFF" w14:textId="77777777" w:rsidR="004819B1" w:rsidRPr="004819B1" w:rsidRDefault="004819B1" w:rsidP="004819B1">
      <w:pPr>
        <w:spacing w:line="360" w:lineRule="auto"/>
        <w:rPr>
          <w:rFonts w:ascii="Times New Roman" w:hAnsi="Times New Roman" w:cs="Times New Roman"/>
          <w:bCs/>
          <w:lang w:val="es-ES_tradnl"/>
        </w:rPr>
      </w:pPr>
    </w:p>
    <w:p w14:paraId="60442B57" w14:textId="77777777" w:rsidR="004819B1" w:rsidRPr="004819B1" w:rsidRDefault="004819B1" w:rsidP="004819B1">
      <w:pPr>
        <w:spacing w:line="360" w:lineRule="auto"/>
        <w:rPr>
          <w:rFonts w:ascii="Times New Roman" w:hAnsi="Times New Roman" w:cs="Times New Roman"/>
          <w:b/>
          <w:bCs/>
          <w:lang w:val="es-ES_tradnl"/>
        </w:rPr>
      </w:pPr>
      <w:r w:rsidRPr="004819B1">
        <w:rPr>
          <w:rFonts w:ascii="Times New Roman" w:hAnsi="Times New Roman" w:cs="Times New Roman"/>
          <w:b/>
          <w:bCs/>
          <w:lang w:val="es-ES_tradnl"/>
        </w:rPr>
        <w:t>6. Discusión: el reto de un entorno cambiante</w:t>
      </w:r>
    </w:p>
    <w:p w14:paraId="323F8871" w14:textId="5EA79AC0"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Entre las prácticas establecidas y las emergentes hay diferentes capas de determinación, definición y claridad. Mientras que las primeras son fáciles de comprender, las segundas son más difíciles de ubicar. </w:t>
      </w:r>
      <w:r w:rsidR="00CE06AB">
        <w:rPr>
          <w:rFonts w:ascii="Times New Roman" w:hAnsi="Times New Roman" w:cs="Times New Roman"/>
          <w:bCs/>
          <w:lang w:val="es-ES_tradnl"/>
        </w:rPr>
        <w:t>L</w:t>
      </w:r>
      <w:r w:rsidRPr="004819B1">
        <w:rPr>
          <w:rFonts w:ascii="Times New Roman" w:hAnsi="Times New Roman" w:cs="Times New Roman"/>
          <w:bCs/>
          <w:lang w:val="es-ES_tradnl"/>
        </w:rPr>
        <w:t>a ambigüedad y traslape que caracteriza la periferia es al mismo tiempo una de sus ventajas, pues les permite a las prácticas para-disciplinares reconfigurarse, reinventarse, redefinirse. No existe en la periferia una materialidad específica que restrinja la capacidad de movimiento, por eso Diseñar sin manos, aunque exige más a nivel cognitivo de los profesionales, es una actividad libre, más fluida, abierta e improvisada. Diseñar sin manos es producto de una erosión de la materialidad en al menos cuatro aspectos identificados:</w:t>
      </w:r>
    </w:p>
    <w:p w14:paraId="4A6216BD" w14:textId="77777777" w:rsidR="004819B1" w:rsidRPr="004819B1" w:rsidRDefault="004819B1" w:rsidP="004819B1">
      <w:pPr>
        <w:numPr>
          <w:ilvl w:val="0"/>
          <w:numId w:val="1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La identificación de problemas, los cuales son multifactoriales y resulta más complicado diagnosticarles, requieren una destreza mental, no manual.</w:t>
      </w:r>
    </w:p>
    <w:p w14:paraId="300F39A3" w14:textId="77777777" w:rsidR="004819B1" w:rsidRPr="004819B1" w:rsidRDefault="004819B1" w:rsidP="004819B1">
      <w:pPr>
        <w:numPr>
          <w:ilvl w:val="0"/>
          <w:numId w:val="1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lastRenderedPageBreak/>
        <w:t>Los usuarios ahora no son sólo vistos como receptores o beneficiarios, sino que deben ser partícipes también de los procesos y toma de decisiones junto con otros participantes. Considerar y unir perspectivas opuestas requiere una destreza mental, no manual.</w:t>
      </w:r>
    </w:p>
    <w:p w14:paraId="5322E80C" w14:textId="77777777" w:rsidR="004819B1" w:rsidRPr="004819B1" w:rsidRDefault="004819B1" w:rsidP="004819B1">
      <w:pPr>
        <w:numPr>
          <w:ilvl w:val="0"/>
          <w:numId w:val="1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Los procesos no son absolutos, son abiertos, involucrando distintas técnicas y herramientas, desarrollándose en ciclos iterativos. Una constante evolución y mejora del proceso de diseño requiere también habilidades mentales, no manuales.</w:t>
      </w:r>
    </w:p>
    <w:p w14:paraId="7D2CF949" w14:textId="77777777" w:rsidR="004819B1" w:rsidRPr="004819B1" w:rsidRDefault="004819B1" w:rsidP="004819B1">
      <w:pPr>
        <w:numPr>
          <w:ilvl w:val="0"/>
          <w:numId w:val="1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Los resultados, producto del proceso de diseño, no son tangibles. Están conformados por ideas, planes, rutas de acción, estrategias, que además también son indeterminadas con posibilidad de ser modificadas.</w:t>
      </w:r>
    </w:p>
    <w:p w14:paraId="4164590F" w14:textId="50D11EBD"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Diseñar sin manos como prácti</w:t>
      </w:r>
      <w:r w:rsidR="00CE06AB">
        <w:rPr>
          <w:rFonts w:ascii="Times New Roman" w:hAnsi="Times New Roman" w:cs="Times New Roman"/>
          <w:bCs/>
          <w:lang w:val="es-ES_tradnl"/>
        </w:rPr>
        <w:t xml:space="preserve">ca-periférica también requiere </w:t>
      </w:r>
      <w:r w:rsidRPr="004819B1">
        <w:rPr>
          <w:rFonts w:ascii="Times New Roman" w:hAnsi="Times New Roman" w:cs="Times New Roman"/>
          <w:bCs/>
          <w:lang w:val="es-ES_tradnl"/>
        </w:rPr>
        <w:t xml:space="preserve">habilidades periféricas o emergentes, es decir, no-tradicionales a las disciplinas del diseño, sino indeterminadas, abiertas y en constante cambio.  </w:t>
      </w:r>
      <w:r w:rsidR="00CE06AB">
        <w:rPr>
          <w:rFonts w:ascii="Times New Roman" w:hAnsi="Times New Roman" w:cs="Times New Roman"/>
          <w:bCs/>
          <w:lang w:val="es-ES_tradnl"/>
        </w:rPr>
        <w:t>Aquí</w:t>
      </w:r>
      <w:r w:rsidRPr="004819B1">
        <w:rPr>
          <w:rFonts w:ascii="Times New Roman" w:hAnsi="Times New Roman" w:cs="Times New Roman"/>
          <w:bCs/>
          <w:lang w:val="es-ES_tradnl"/>
        </w:rPr>
        <w:t xml:space="preserve"> </w:t>
      </w:r>
      <w:r w:rsidR="00CE06AB">
        <w:rPr>
          <w:rFonts w:ascii="Times New Roman" w:hAnsi="Times New Roman" w:cs="Times New Roman"/>
          <w:bCs/>
          <w:lang w:val="es-ES_tradnl"/>
        </w:rPr>
        <w:t>identificaron</w:t>
      </w:r>
      <w:r w:rsidRPr="004819B1">
        <w:rPr>
          <w:rFonts w:ascii="Times New Roman" w:hAnsi="Times New Roman" w:cs="Times New Roman"/>
          <w:bCs/>
          <w:lang w:val="es-ES_tradnl"/>
        </w:rPr>
        <w:t xml:space="preserve"> 4 grupos de habilidades </w:t>
      </w:r>
      <w:r w:rsidR="00CE06AB">
        <w:rPr>
          <w:rFonts w:ascii="Times New Roman" w:hAnsi="Times New Roman" w:cs="Times New Roman"/>
          <w:bCs/>
          <w:lang w:val="es-ES_tradnl"/>
        </w:rPr>
        <w:t xml:space="preserve">mencionadas previamente, </w:t>
      </w:r>
      <w:r w:rsidRPr="004819B1">
        <w:rPr>
          <w:rFonts w:ascii="Times New Roman" w:hAnsi="Times New Roman" w:cs="Times New Roman"/>
          <w:bCs/>
          <w:lang w:val="es-ES_tradnl"/>
        </w:rPr>
        <w:t>que no están relacionados con habilidades tradicionales del diseño, pero que son necesarios para desempeñarse en las prácticas para-disciplinares del diseño</w:t>
      </w:r>
      <w:r w:rsidR="00CE06AB">
        <w:rPr>
          <w:rFonts w:ascii="Times New Roman" w:hAnsi="Times New Roman" w:cs="Times New Roman"/>
          <w:bCs/>
          <w:lang w:val="es-ES_tradnl"/>
        </w:rPr>
        <w:t xml:space="preserve"> y quizá para subir por la escalera del diseño en un entorno organizacional. </w:t>
      </w:r>
    </w:p>
    <w:p w14:paraId="41B971E3" w14:textId="77777777" w:rsidR="004819B1" w:rsidRPr="004819B1" w:rsidRDefault="004819B1" w:rsidP="004819B1">
      <w:pPr>
        <w:spacing w:line="360" w:lineRule="auto"/>
        <w:rPr>
          <w:rFonts w:ascii="Times New Roman" w:hAnsi="Times New Roman" w:cs="Times New Roman"/>
          <w:bCs/>
          <w:lang w:val="es-ES_tradnl"/>
        </w:rPr>
      </w:pPr>
    </w:p>
    <w:p w14:paraId="0252D85A" w14:textId="01950E28"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El panorama anterior requiere de un debate más profundo sobre la dirección que debería tomar la educación del diseño. Los retos del entorno laboral actual demandan profesionales capaces de Diseñar sin manos para trabajar contextos de materialidad ambigua y difusa, y responder a problemas complejos, a entornos cambiantes, a nuevos modelos de negocio.</w:t>
      </w:r>
    </w:p>
    <w:p w14:paraId="3F42A1BA" w14:textId="77777777" w:rsidR="004819B1" w:rsidRPr="004819B1" w:rsidRDefault="004819B1" w:rsidP="004819B1">
      <w:pPr>
        <w:spacing w:line="360" w:lineRule="auto"/>
        <w:rPr>
          <w:rFonts w:ascii="Times New Roman" w:hAnsi="Times New Roman" w:cs="Times New Roman"/>
          <w:bCs/>
          <w:lang w:val="es-ES_tradnl"/>
        </w:rPr>
      </w:pPr>
    </w:p>
    <w:p w14:paraId="7A433CC7" w14:textId="4E4CD1AC"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La erosión de la materialidad y las prácticas para-disciplinares aquí expuestas, son, al final, evidencia de una disciplina en constante evolución. Si bien las prácticas tradicionales del diseño emergieron en un inicio para la producción de artefactos como imágenes, objetos y espacios, el surgimiento de nuevas prácticas es también un signo de una disciplina que ha buscado constantemente responder a las demandas de la sociedad y la industria.. Si la práctica evoluciona, también debería hacerlo la educación, así como la investigación y la producción de conocimiento. Somos parte de una disciplina que cada vez gana más notoriedad y va entendiendo cómo demostrar su valor, por lo que es necesario también que como comunidad del diseño mantengamos una perspectiva abierta y sepamos cómo integrar las prácticas emergentes y aprovechar su perspectiva para fortalecer lo que hasta ahora hemos construido.</w:t>
      </w:r>
    </w:p>
    <w:p w14:paraId="69331725" w14:textId="1B57348D" w:rsidR="00304499" w:rsidRPr="001D39FF" w:rsidRDefault="00304499" w:rsidP="625C1130">
      <w:pPr>
        <w:spacing w:line="360" w:lineRule="auto"/>
        <w:rPr>
          <w:rFonts w:ascii="Times New Roman" w:hAnsi="Times New Roman" w:cs="Times New Roman"/>
          <w:lang w:val="es-ES"/>
        </w:rPr>
      </w:pPr>
    </w:p>
    <w:p w14:paraId="2BE11683" w14:textId="20003C83" w:rsidR="00304499" w:rsidRPr="00C8412F" w:rsidRDefault="00304499" w:rsidP="00304499">
      <w:pPr>
        <w:spacing w:line="360" w:lineRule="auto"/>
        <w:rPr>
          <w:rFonts w:ascii="Times New Roman" w:hAnsi="Times New Roman" w:cs="Times New Roman"/>
          <w:b/>
          <w:lang w:val="en-US"/>
        </w:rPr>
      </w:pPr>
      <w:r w:rsidRPr="00C8412F">
        <w:rPr>
          <w:rFonts w:ascii="Times New Roman" w:hAnsi="Times New Roman" w:cs="Times New Roman"/>
          <w:b/>
          <w:lang w:val="en-US"/>
        </w:rPr>
        <w:t>Referencias</w:t>
      </w:r>
    </w:p>
    <w:p w14:paraId="2E66A192"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Bachnik, K. (2016). Design Thinking: Why Managers Should Care. </w:t>
      </w:r>
      <w:r w:rsidRPr="004819B1">
        <w:rPr>
          <w:rFonts w:ascii="Times New Roman" w:hAnsi="Times New Roman" w:cs="Times New Roman"/>
          <w:bCs/>
          <w:i/>
          <w:iCs/>
          <w:sz w:val="18"/>
          <w:szCs w:val="18"/>
          <w:lang w:val="en-US"/>
        </w:rPr>
        <w:t>China-USA Business Review,</w:t>
      </w:r>
      <w:r w:rsidRPr="004819B1">
        <w:rPr>
          <w:rFonts w:ascii="Times New Roman" w:hAnsi="Times New Roman" w:cs="Times New Roman"/>
          <w:bCs/>
          <w:sz w:val="18"/>
          <w:szCs w:val="18"/>
          <w:lang w:val="en-US"/>
        </w:rPr>
        <w:t xml:space="preserve"> </w:t>
      </w:r>
      <w:r w:rsidRPr="004819B1">
        <w:rPr>
          <w:rFonts w:ascii="Times New Roman" w:hAnsi="Times New Roman" w:cs="Times New Roman"/>
          <w:bCs/>
          <w:i/>
          <w:iCs/>
          <w:sz w:val="18"/>
          <w:szCs w:val="18"/>
          <w:lang w:val="en-US"/>
        </w:rPr>
        <w:t>15</w:t>
      </w:r>
      <w:r w:rsidRPr="004819B1">
        <w:rPr>
          <w:rFonts w:ascii="Times New Roman" w:hAnsi="Times New Roman" w:cs="Times New Roman"/>
          <w:bCs/>
          <w:sz w:val="18"/>
          <w:szCs w:val="18"/>
          <w:lang w:val="en-US"/>
        </w:rPr>
        <w:t>(01). doi:10.17265/1537-1514/2016.01.003</w:t>
      </w:r>
    </w:p>
    <w:p w14:paraId="325129A5"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s-ES_tradnl"/>
        </w:rPr>
        <w:t xml:space="preserve">Bauman, Z. (2003). </w:t>
      </w:r>
      <w:r w:rsidRPr="004819B1">
        <w:rPr>
          <w:rFonts w:ascii="Times New Roman" w:hAnsi="Times New Roman" w:cs="Times New Roman"/>
          <w:bCs/>
          <w:i/>
          <w:iCs/>
          <w:sz w:val="18"/>
          <w:szCs w:val="18"/>
          <w:lang w:val="es-ES_tradnl"/>
        </w:rPr>
        <w:t>Modernidad Líquida</w:t>
      </w:r>
      <w:r w:rsidRPr="004819B1">
        <w:rPr>
          <w:rFonts w:ascii="Times New Roman" w:hAnsi="Times New Roman" w:cs="Times New Roman"/>
          <w:bCs/>
          <w:sz w:val="18"/>
          <w:szCs w:val="18"/>
          <w:lang w:val="es-ES_tradnl"/>
        </w:rPr>
        <w:t>, México: Fondo de Cultura Económica.</w:t>
      </w:r>
    </w:p>
    <w:p w14:paraId="6EB75CFB"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it-IT"/>
        </w:rPr>
        <w:t xml:space="preserve">Baratta, D. (2017). The </w:t>
      </w:r>
      <w:r w:rsidRPr="004819B1">
        <w:rPr>
          <w:rFonts w:ascii="Times New Roman" w:hAnsi="Times New Roman" w:cs="Times New Roman"/>
          <w:bCs/>
          <w:sz w:val="18"/>
          <w:szCs w:val="18"/>
          <w:lang w:val="en-US"/>
        </w:rPr>
        <w:t xml:space="preserve">“T” shaped designer expertise. The “reverse-T” shaped designer horizon. </w:t>
      </w:r>
      <w:r w:rsidRPr="004819B1">
        <w:rPr>
          <w:rFonts w:ascii="Times New Roman" w:hAnsi="Times New Roman" w:cs="Times New Roman"/>
          <w:bCs/>
          <w:i/>
          <w:iCs/>
          <w:sz w:val="18"/>
          <w:szCs w:val="18"/>
          <w:lang w:val="en-US"/>
        </w:rPr>
        <w:t xml:space="preserve">The Design Journal 20 </w:t>
      </w:r>
      <w:r w:rsidRPr="004819B1">
        <w:rPr>
          <w:rFonts w:ascii="Times New Roman" w:hAnsi="Times New Roman" w:cs="Times New Roman"/>
          <w:bCs/>
          <w:sz w:val="18"/>
          <w:szCs w:val="18"/>
          <w:lang w:val="en-US"/>
        </w:rPr>
        <w:t>(1), S4784-S4786.</w:t>
      </w:r>
    </w:p>
    <w:p w14:paraId="0B76F250"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Bataille, P. (31 de diciembre 2013). Steve Mann, Keynote Address, eLeo Symposium, 2013dec05, OCAD University [Video]. Vimeo. </w:t>
      </w:r>
      <w:hyperlink r:id="rId14" w:history="1">
        <w:r w:rsidRPr="004819B1">
          <w:rPr>
            <w:rStyle w:val="Hipervnculo"/>
            <w:rFonts w:ascii="Times New Roman" w:hAnsi="Times New Roman" w:cs="Times New Roman"/>
            <w:bCs/>
            <w:sz w:val="18"/>
            <w:szCs w:val="18"/>
            <w:lang w:val="en-US"/>
          </w:rPr>
          <w:t>https://vimeo.com/83107245</w:t>
        </w:r>
      </w:hyperlink>
    </w:p>
    <w:p w14:paraId="6D3A948B"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Buchanan, R. (2001). Design Research and the New Learning. </w:t>
      </w:r>
      <w:r w:rsidRPr="004819B1">
        <w:rPr>
          <w:rFonts w:ascii="Times New Roman" w:hAnsi="Times New Roman" w:cs="Times New Roman"/>
          <w:bCs/>
          <w:i/>
          <w:iCs/>
          <w:sz w:val="18"/>
          <w:szCs w:val="18"/>
          <w:lang w:val="en-US"/>
        </w:rPr>
        <w:t>Design Issues</w:t>
      </w:r>
      <w:r w:rsidRPr="004819B1">
        <w:rPr>
          <w:rFonts w:ascii="Times New Roman" w:hAnsi="Times New Roman" w:cs="Times New Roman"/>
          <w:bCs/>
          <w:sz w:val="18"/>
          <w:szCs w:val="18"/>
          <w:lang w:val="en-US"/>
        </w:rPr>
        <w:t>, </w:t>
      </w:r>
      <w:r w:rsidRPr="004819B1">
        <w:rPr>
          <w:rFonts w:ascii="Times New Roman" w:hAnsi="Times New Roman" w:cs="Times New Roman"/>
          <w:bCs/>
          <w:i/>
          <w:iCs/>
          <w:sz w:val="18"/>
          <w:szCs w:val="18"/>
          <w:lang w:val="en-US"/>
        </w:rPr>
        <w:t>17</w:t>
      </w:r>
      <w:r w:rsidRPr="004819B1">
        <w:rPr>
          <w:rFonts w:ascii="Times New Roman" w:hAnsi="Times New Roman" w:cs="Times New Roman"/>
          <w:bCs/>
          <w:sz w:val="18"/>
          <w:szCs w:val="18"/>
          <w:lang w:val="en-US"/>
        </w:rPr>
        <w:t xml:space="preserve">(4), 3–23. </w:t>
      </w:r>
      <w:hyperlink r:id="rId15" w:history="1">
        <w:r w:rsidRPr="004819B1">
          <w:rPr>
            <w:rStyle w:val="Hipervnculo"/>
            <w:rFonts w:ascii="Times New Roman" w:hAnsi="Times New Roman" w:cs="Times New Roman"/>
            <w:bCs/>
            <w:sz w:val="18"/>
            <w:szCs w:val="18"/>
            <w:lang w:val="it-IT"/>
          </w:rPr>
          <w:t>https://doi-org.dibpxy.uaa.mx/10.1162/07479360152681056</w:t>
        </w:r>
      </w:hyperlink>
      <w:r w:rsidRPr="004819B1">
        <w:rPr>
          <w:rFonts w:ascii="Times New Roman" w:hAnsi="Times New Roman" w:cs="Times New Roman"/>
          <w:bCs/>
          <w:sz w:val="18"/>
          <w:szCs w:val="18"/>
          <w:lang w:val="en-US"/>
        </w:rPr>
        <w:t xml:space="preserve"> </w:t>
      </w:r>
    </w:p>
    <w:p w14:paraId="7B617C26"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s-ES_tradnl"/>
        </w:rPr>
        <w:lastRenderedPageBreak/>
        <w:t xml:space="preserve">Calabretta, G., Gemser, G. y Karpen, I. (2016). </w:t>
      </w:r>
      <w:r w:rsidRPr="004819B1">
        <w:rPr>
          <w:rFonts w:ascii="Times New Roman" w:hAnsi="Times New Roman" w:cs="Times New Roman"/>
          <w:bCs/>
          <w:i/>
          <w:iCs/>
          <w:sz w:val="18"/>
          <w:szCs w:val="18"/>
          <w:lang w:val="en-US"/>
        </w:rPr>
        <w:t>Strategic Design: 8 Essential Practices Every Strategic Designer Must Master.</w:t>
      </w:r>
      <w:r w:rsidRPr="004819B1">
        <w:rPr>
          <w:rFonts w:ascii="Times New Roman" w:hAnsi="Times New Roman" w:cs="Times New Roman"/>
          <w:bCs/>
          <w:sz w:val="18"/>
          <w:szCs w:val="18"/>
          <w:lang w:val="en-US"/>
        </w:rPr>
        <w:t xml:space="preserve"> </w:t>
      </w:r>
      <w:r w:rsidRPr="004819B1">
        <w:rPr>
          <w:rFonts w:ascii="Times New Roman" w:hAnsi="Times New Roman" w:cs="Times New Roman"/>
          <w:bCs/>
          <w:sz w:val="18"/>
          <w:szCs w:val="18"/>
          <w:lang w:val="es-ES_tradnl"/>
        </w:rPr>
        <w:t>Amsterdam: Bispublishers.</w:t>
      </w:r>
    </w:p>
    <w:p w14:paraId="65E4AE1F"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s-ES_tradnl"/>
        </w:rPr>
        <w:t xml:space="preserve">Costa, T., García, A. (2015). Transition Design: Investigación Y Diseño Colaborativo Para Procesos De Emancipación Ciudadanos. </w:t>
      </w:r>
      <w:r w:rsidRPr="004819B1">
        <w:rPr>
          <w:rFonts w:ascii="Times New Roman" w:hAnsi="Times New Roman" w:cs="Times New Roman"/>
          <w:bCs/>
          <w:i/>
          <w:iCs/>
          <w:sz w:val="18"/>
          <w:szCs w:val="18"/>
          <w:lang w:val="es-ES_tradnl"/>
        </w:rPr>
        <w:t>Revista de Estudios Globales y Arte Contemporáneo</w:t>
      </w:r>
      <w:r w:rsidRPr="004819B1">
        <w:rPr>
          <w:rFonts w:ascii="Times New Roman" w:hAnsi="Times New Roman" w:cs="Times New Roman"/>
          <w:bCs/>
          <w:sz w:val="18"/>
          <w:szCs w:val="18"/>
          <w:lang w:val="es-ES_tradnl"/>
        </w:rPr>
        <w:t>, 3 (1),  66-84.</w:t>
      </w:r>
    </w:p>
    <w:p w14:paraId="10F8BFE5"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s-ES_tradnl"/>
        </w:rPr>
        <w:t xml:space="preserve">Danish Deisgn Centre. </w:t>
      </w:r>
      <w:r w:rsidRPr="004819B1">
        <w:rPr>
          <w:rFonts w:ascii="Times New Roman" w:hAnsi="Times New Roman" w:cs="Times New Roman"/>
          <w:bCs/>
          <w:sz w:val="18"/>
          <w:szCs w:val="18"/>
          <w:lang w:val="en-US"/>
        </w:rPr>
        <w:t xml:space="preserve">(2017). </w:t>
      </w:r>
      <w:r w:rsidRPr="004819B1">
        <w:rPr>
          <w:rFonts w:ascii="Times New Roman" w:hAnsi="Times New Roman" w:cs="Times New Roman"/>
          <w:bCs/>
          <w:i/>
          <w:iCs/>
          <w:sz w:val="18"/>
          <w:szCs w:val="18"/>
          <w:lang w:val="en-US"/>
        </w:rPr>
        <w:t>The Design Ladder: Four steps of design use</w:t>
      </w:r>
      <w:r w:rsidRPr="004819B1">
        <w:rPr>
          <w:rFonts w:ascii="Times New Roman" w:hAnsi="Times New Roman" w:cs="Times New Roman"/>
          <w:bCs/>
          <w:sz w:val="18"/>
          <w:szCs w:val="18"/>
          <w:lang w:val="en-US"/>
        </w:rPr>
        <w:t xml:space="preserve">. </w:t>
      </w:r>
      <w:r w:rsidRPr="004819B1">
        <w:rPr>
          <w:rFonts w:ascii="Times New Roman" w:hAnsi="Times New Roman" w:cs="Times New Roman"/>
          <w:bCs/>
          <w:sz w:val="18"/>
          <w:szCs w:val="18"/>
          <w:lang w:val="es-ES_tradnl"/>
        </w:rPr>
        <w:t>Recuperado el 15 de septiembre de 2020, de https://danskdesigncenter.dk/en/design-ladder-four-steps-design-use</w:t>
      </w:r>
    </w:p>
    <w:p w14:paraId="31E6657F"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s-ES_tradnl"/>
        </w:rPr>
        <w:t xml:space="preserve">Encino, A. (2019) Diseñar para la sustentabilidad en el Siglo XXI. </w:t>
      </w:r>
      <w:r w:rsidRPr="004819B1">
        <w:rPr>
          <w:rFonts w:ascii="Times New Roman" w:hAnsi="Times New Roman" w:cs="Times New Roman"/>
          <w:bCs/>
          <w:i/>
          <w:iCs/>
          <w:sz w:val="18"/>
          <w:szCs w:val="18"/>
          <w:lang w:val="it-IT"/>
        </w:rPr>
        <w:t xml:space="preserve">Artificio 1, </w:t>
      </w:r>
      <w:r w:rsidRPr="004819B1">
        <w:rPr>
          <w:rFonts w:ascii="Times New Roman" w:hAnsi="Times New Roman" w:cs="Times New Roman"/>
          <w:bCs/>
          <w:sz w:val="18"/>
          <w:szCs w:val="18"/>
          <w:lang w:val="en-US"/>
        </w:rPr>
        <w:t>4-13.</w:t>
      </w:r>
    </w:p>
    <w:p w14:paraId="6ED0808A"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Gorb, P. and Dumas, A. (1987) Silent Design. </w:t>
      </w:r>
      <w:r w:rsidRPr="004819B1">
        <w:rPr>
          <w:rFonts w:ascii="Times New Roman" w:hAnsi="Times New Roman" w:cs="Times New Roman"/>
          <w:bCs/>
          <w:i/>
          <w:iCs/>
          <w:sz w:val="18"/>
          <w:szCs w:val="18"/>
          <w:lang w:val="de-DE"/>
        </w:rPr>
        <w:t>Design Studies</w:t>
      </w:r>
      <w:r w:rsidRPr="004819B1">
        <w:rPr>
          <w:rFonts w:ascii="Times New Roman" w:hAnsi="Times New Roman" w:cs="Times New Roman"/>
          <w:bCs/>
          <w:sz w:val="18"/>
          <w:szCs w:val="18"/>
          <w:lang w:val="en-US"/>
        </w:rPr>
        <w:t>, 8 (3), 150– 156.</w:t>
      </w:r>
    </w:p>
    <w:p w14:paraId="4FE0324E"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s-ES_tradnl"/>
        </w:rPr>
        <w:t xml:space="preserve">Glen, R., Suciu, C., Baughn, C. C., &amp; Anson, R. (2015). </w:t>
      </w:r>
      <w:r w:rsidRPr="004819B1">
        <w:rPr>
          <w:rFonts w:ascii="Times New Roman" w:hAnsi="Times New Roman" w:cs="Times New Roman"/>
          <w:bCs/>
          <w:sz w:val="18"/>
          <w:szCs w:val="18"/>
          <w:lang w:val="en-US"/>
        </w:rPr>
        <w:t xml:space="preserve">Teaching design thinking in business schools. </w:t>
      </w:r>
      <w:r w:rsidRPr="004819B1">
        <w:rPr>
          <w:rFonts w:ascii="Times New Roman" w:hAnsi="Times New Roman" w:cs="Times New Roman"/>
          <w:bCs/>
          <w:i/>
          <w:iCs/>
          <w:sz w:val="18"/>
          <w:szCs w:val="18"/>
          <w:lang w:val="en-US"/>
        </w:rPr>
        <w:t>The International Journal of Management Education,</w:t>
      </w:r>
      <w:r w:rsidRPr="004819B1">
        <w:rPr>
          <w:rFonts w:ascii="Times New Roman" w:hAnsi="Times New Roman" w:cs="Times New Roman"/>
          <w:bCs/>
          <w:sz w:val="18"/>
          <w:szCs w:val="18"/>
          <w:lang w:val="en-US"/>
        </w:rPr>
        <w:t xml:space="preserve"> </w:t>
      </w:r>
      <w:r w:rsidRPr="004819B1">
        <w:rPr>
          <w:rFonts w:ascii="Times New Roman" w:hAnsi="Times New Roman" w:cs="Times New Roman"/>
          <w:bCs/>
          <w:i/>
          <w:iCs/>
          <w:sz w:val="18"/>
          <w:szCs w:val="18"/>
          <w:lang w:val="en-US"/>
        </w:rPr>
        <w:t>13</w:t>
      </w:r>
      <w:r w:rsidRPr="004819B1">
        <w:rPr>
          <w:rFonts w:ascii="Times New Roman" w:hAnsi="Times New Roman" w:cs="Times New Roman"/>
          <w:bCs/>
          <w:sz w:val="18"/>
          <w:szCs w:val="18"/>
          <w:lang w:val="en-US"/>
        </w:rPr>
        <w:t>(2), 182-192. doi:10.1016/j.ijme.2015.05.001</w:t>
      </w:r>
    </w:p>
    <w:p w14:paraId="66F6C40F"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Hargadon, A. (2010). Leading with Vision: The Design of New Ventures. </w:t>
      </w:r>
      <w:r w:rsidRPr="004819B1">
        <w:rPr>
          <w:rFonts w:ascii="Times New Roman" w:hAnsi="Times New Roman" w:cs="Times New Roman"/>
          <w:bCs/>
          <w:i/>
          <w:iCs/>
          <w:sz w:val="18"/>
          <w:szCs w:val="18"/>
          <w:lang w:val="en-US"/>
        </w:rPr>
        <w:t>Design Management Review,</w:t>
      </w:r>
      <w:r w:rsidRPr="004819B1">
        <w:rPr>
          <w:rFonts w:ascii="Times New Roman" w:hAnsi="Times New Roman" w:cs="Times New Roman"/>
          <w:bCs/>
          <w:sz w:val="18"/>
          <w:szCs w:val="18"/>
          <w:lang w:val="en-US"/>
        </w:rPr>
        <w:t xml:space="preserve"> </w:t>
      </w:r>
      <w:r w:rsidRPr="004819B1">
        <w:rPr>
          <w:rFonts w:ascii="Times New Roman" w:hAnsi="Times New Roman" w:cs="Times New Roman"/>
          <w:bCs/>
          <w:i/>
          <w:iCs/>
          <w:sz w:val="18"/>
          <w:szCs w:val="18"/>
          <w:lang w:val="en-US"/>
        </w:rPr>
        <w:t>16</w:t>
      </w:r>
      <w:r w:rsidRPr="004819B1">
        <w:rPr>
          <w:rFonts w:ascii="Times New Roman" w:hAnsi="Times New Roman" w:cs="Times New Roman"/>
          <w:bCs/>
          <w:sz w:val="18"/>
          <w:szCs w:val="18"/>
          <w:lang w:val="en-US"/>
        </w:rPr>
        <w:t>(1), 33-39. doi:10.1111/j.1948-7169.2005.tb00005.x</w:t>
      </w:r>
    </w:p>
    <w:p w14:paraId="23CC589B"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Hill, G. (1 de Septiembre de 2016). </w:t>
      </w:r>
      <w:r w:rsidRPr="004819B1">
        <w:rPr>
          <w:rFonts w:ascii="Times New Roman" w:hAnsi="Times New Roman" w:cs="Times New Roman"/>
          <w:bCs/>
          <w:i/>
          <w:iCs/>
          <w:sz w:val="18"/>
          <w:szCs w:val="18"/>
          <w:lang w:val="en-US"/>
        </w:rPr>
        <w:t xml:space="preserve">What Is Generation Flux? </w:t>
      </w:r>
      <w:r w:rsidRPr="004819B1">
        <w:rPr>
          <w:rFonts w:ascii="Times New Roman" w:hAnsi="Times New Roman" w:cs="Times New Roman"/>
          <w:bCs/>
          <w:sz w:val="18"/>
          <w:szCs w:val="18"/>
          <w:lang w:val="fr-FR"/>
        </w:rPr>
        <w:t xml:space="preserve">Innovation </w:t>
      </w:r>
      <w:r w:rsidRPr="004819B1">
        <w:rPr>
          <w:rFonts w:ascii="Times New Roman" w:hAnsi="Times New Roman" w:cs="Times New Roman"/>
          <w:bCs/>
          <w:sz w:val="18"/>
          <w:szCs w:val="18"/>
          <w:lang w:val="en-US"/>
        </w:rPr>
        <w:t>Enterprise, https://channels.theinnovationenterprise.com/articles/what-is-generation-flux</w:t>
      </w:r>
    </w:p>
    <w:p w14:paraId="716FEE06"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Holland, R., and Lam, B. (2014) </w:t>
      </w:r>
      <w:r w:rsidRPr="004819B1">
        <w:rPr>
          <w:rFonts w:ascii="Times New Roman" w:hAnsi="Times New Roman" w:cs="Times New Roman"/>
          <w:bCs/>
          <w:i/>
          <w:iCs/>
          <w:sz w:val="18"/>
          <w:szCs w:val="18"/>
          <w:lang w:val="en-US"/>
        </w:rPr>
        <w:t>Managing Strategic Design,</w:t>
      </w:r>
      <w:r w:rsidRPr="004819B1">
        <w:rPr>
          <w:rFonts w:ascii="Times New Roman" w:hAnsi="Times New Roman" w:cs="Times New Roman"/>
          <w:bCs/>
          <w:sz w:val="18"/>
          <w:szCs w:val="18"/>
          <w:lang w:val="it-IT"/>
        </w:rPr>
        <w:t xml:space="preserve"> London: Palgrave.</w:t>
      </w:r>
    </w:p>
    <w:p w14:paraId="6E0B5377"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n-US"/>
        </w:rPr>
        <w:t xml:space="preserve">IBM, (s.f.). Enterprise Design Thinking. </w:t>
      </w:r>
      <w:r w:rsidRPr="004819B1">
        <w:rPr>
          <w:rFonts w:ascii="Times New Roman" w:hAnsi="Times New Roman" w:cs="Times New Roman"/>
          <w:bCs/>
          <w:sz w:val="18"/>
          <w:szCs w:val="18"/>
          <w:lang w:val="es-ES_tradnl"/>
        </w:rPr>
        <w:t>Recuperado el 18 de septiembre de 2020, de https://www.ibm.com/mx-es/services/business/design-thinking?p1=Search</w:t>
      </w:r>
    </w:p>
    <w:p w14:paraId="438DDCAA"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IDEO, (2011). Human centered design. Indiana: Authorhouse.</w:t>
      </w:r>
    </w:p>
    <w:p w14:paraId="345736E8"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Irwin, T. (2015) Transition Design: A Proposal for a New Area of Design Practice, Study, and Research, </w:t>
      </w:r>
      <w:r w:rsidRPr="004819B1">
        <w:rPr>
          <w:rFonts w:ascii="Times New Roman" w:hAnsi="Times New Roman" w:cs="Times New Roman"/>
          <w:bCs/>
          <w:i/>
          <w:iCs/>
          <w:sz w:val="18"/>
          <w:szCs w:val="18"/>
          <w:lang w:val="en-US"/>
        </w:rPr>
        <w:t>Design and Culture,</w:t>
      </w:r>
      <w:r w:rsidRPr="004819B1">
        <w:rPr>
          <w:rFonts w:ascii="Times New Roman" w:hAnsi="Times New Roman" w:cs="Times New Roman"/>
          <w:bCs/>
          <w:sz w:val="18"/>
          <w:szCs w:val="18"/>
          <w:lang w:val="en-US"/>
        </w:rPr>
        <w:t xml:space="preserve"> 7(2), 229-246, DOI: 10.1080/17547075.2015.1051829</w:t>
      </w:r>
    </w:p>
    <w:p w14:paraId="10E23142"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n-US"/>
        </w:rPr>
        <w:t>Irwin, T. (2019). The Emerging Transition Design Approach</w:t>
      </w:r>
      <w:bookmarkStart w:id="10" w:name="_Hlk51599386"/>
      <w:r w:rsidRPr="004819B1">
        <w:rPr>
          <w:rFonts w:ascii="Times New Roman" w:hAnsi="Times New Roman" w:cs="Times New Roman"/>
          <w:bCs/>
          <w:i/>
          <w:iCs/>
          <w:sz w:val="18"/>
          <w:szCs w:val="18"/>
          <w:lang w:val="en-US"/>
        </w:rPr>
        <w:t xml:space="preserve">. </w:t>
      </w:r>
      <w:r w:rsidRPr="004819B1">
        <w:rPr>
          <w:rFonts w:ascii="Times New Roman" w:hAnsi="Times New Roman" w:cs="Times New Roman"/>
          <w:bCs/>
          <w:i/>
          <w:iCs/>
          <w:sz w:val="18"/>
          <w:szCs w:val="18"/>
          <w:lang w:val="es-ES_tradnl"/>
        </w:rPr>
        <w:t>Cuadernos del Centro de Estudios en Diseño y Comunicación 87</w:t>
      </w:r>
      <w:bookmarkEnd w:id="10"/>
      <w:r w:rsidRPr="004819B1">
        <w:rPr>
          <w:rFonts w:ascii="Times New Roman" w:hAnsi="Times New Roman" w:cs="Times New Roman"/>
          <w:bCs/>
          <w:sz w:val="18"/>
          <w:szCs w:val="18"/>
          <w:lang w:val="es-ES_tradnl"/>
        </w:rPr>
        <w:t>, pp 27-54</w:t>
      </w:r>
    </w:p>
    <w:p w14:paraId="508875AF"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Kumar, V. (2013). </w:t>
      </w:r>
      <w:r w:rsidRPr="004819B1">
        <w:rPr>
          <w:rFonts w:ascii="Times New Roman" w:hAnsi="Times New Roman" w:cs="Times New Roman"/>
          <w:bCs/>
          <w:i/>
          <w:iCs/>
          <w:sz w:val="18"/>
          <w:szCs w:val="18"/>
          <w:lang w:val="en-US"/>
        </w:rPr>
        <w:t xml:space="preserve">101 Design Methods: A Structured Approach for Driving Innovation in Your Organization, </w:t>
      </w:r>
      <w:r w:rsidRPr="004819B1">
        <w:rPr>
          <w:rFonts w:ascii="Times New Roman" w:hAnsi="Times New Roman" w:cs="Times New Roman"/>
          <w:bCs/>
          <w:sz w:val="18"/>
          <w:szCs w:val="18"/>
          <w:lang w:val="en-US"/>
        </w:rPr>
        <w:t>Hoboken: John Wiley and Sons.</w:t>
      </w:r>
    </w:p>
    <w:p w14:paraId="1E17AA12"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Lee, Y. (2008). Design participation tactics: the challenges and new roles for designers in the co-design process. </w:t>
      </w:r>
      <w:r w:rsidRPr="004819B1">
        <w:rPr>
          <w:rFonts w:ascii="Times New Roman" w:hAnsi="Times New Roman" w:cs="Times New Roman"/>
          <w:bCs/>
          <w:i/>
          <w:iCs/>
          <w:sz w:val="18"/>
          <w:szCs w:val="18"/>
          <w:lang w:val="en-US"/>
        </w:rPr>
        <w:t>CoDesign 4</w:t>
      </w:r>
      <w:r w:rsidRPr="004819B1">
        <w:rPr>
          <w:rFonts w:ascii="Times New Roman" w:hAnsi="Times New Roman" w:cs="Times New Roman"/>
          <w:bCs/>
          <w:sz w:val="18"/>
          <w:szCs w:val="18"/>
          <w:lang w:val="en-US"/>
        </w:rPr>
        <w:t>(1), 31-50.</w:t>
      </w:r>
    </w:p>
    <w:p w14:paraId="0CE432CF" w14:textId="77777777" w:rsidR="004819B1" w:rsidRPr="00AC342B" w:rsidRDefault="004819B1" w:rsidP="004819B1">
      <w:pPr>
        <w:spacing w:line="360" w:lineRule="auto"/>
        <w:ind w:left="567" w:hanging="283"/>
        <w:rPr>
          <w:rFonts w:ascii="Times New Roman" w:hAnsi="Times New Roman" w:cs="Times New Roman"/>
          <w:bCs/>
          <w:sz w:val="18"/>
          <w:szCs w:val="18"/>
        </w:rPr>
      </w:pPr>
      <w:r w:rsidRPr="004819B1">
        <w:rPr>
          <w:rFonts w:ascii="Times New Roman" w:hAnsi="Times New Roman" w:cs="Times New Roman"/>
          <w:bCs/>
          <w:sz w:val="18"/>
          <w:szCs w:val="18"/>
          <w:lang w:val="en-US"/>
        </w:rPr>
        <w:t>Liedka, J. (2018). Why Design Thinking Works.</w:t>
      </w:r>
      <w:r w:rsidRPr="004819B1">
        <w:rPr>
          <w:rFonts w:ascii="Times New Roman" w:hAnsi="Times New Roman" w:cs="Times New Roman"/>
          <w:bCs/>
          <w:i/>
          <w:iCs/>
          <w:sz w:val="18"/>
          <w:szCs w:val="18"/>
          <w:lang w:val="en-US"/>
        </w:rPr>
        <w:t xml:space="preserve"> </w:t>
      </w:r>
      <w:r w:rsidRPr="00AC342B">
        <w:rPr>
          <w:rFonts w:ascii="Times New Roman" w:hAnsi="Times New Roman" w:cs="Times New Roman"/>
          <w:bCs/>
          <w:i/>
          <w:iCs/>
          <w:sz w:val="18"/>
          <w:szCs w:val="18"/>
        </w:rPr>
        <w:t xml:space="preserve">Harvard Business Review, </w:t>
      </w:r>
      <w:r w:rsidRPr="004819B1">
        <w:rPr>
          <w:rFonts w:ascii="Times New Roman" w:hAnsi="Times New Roman" w:cs="Times New Roman"/>
          <w:bCs/>
          <w:sz w:val="18"/>
          <w:szCs w:val="18"/>
          <w:lang w:val="pt-PT"/>
        </w:rPr>
        <w:t xml:space="preserve">recuperado de </w:t>
      </w:r>
      <w:hyperlink r:id="rId16" w:history="1">
        <w:r w:rsidRPr="00AC342B">
          <w:rPr>
            <w:rStyle w:val="Hipervnculo"/>
            <w:rFonts w:ascii="Times New Roman" w:hAnsi="Times New Roman" w:cs="Times New Roman"/>
            <w:bCs/>
            <w:sz w:val="18"/>
            <w:szCs w:val="18"/>
          </w:rPr>
          <w:t>https://hbr.org/2018/09/why-design-thinking-works</w:t>
        </w:r>
      </w:hyperlink>
    </w:p>
    <w:p w14:paraId="297DE081"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s-ES_tradnl"/>
        </w:rPr>
        <w:t xml:space="preserve">López-León, R. (2016). Especialización y transdisciplina: apuntes sobre el Diseño Integral como propuesta de posgrado, en C. Villagómez  y J. Saldaña (Eds)., </w:t>
      </w:r>
      <w:r w:rsidRPr="004819B1">
        <w:rPr>
          <w:rFonts w:ascii="Times New Roman" w:hAnsi="Times New Roman" w:cs="Times New Roman"/>
          <w:bCs/>
          <w:i/>
          <w:iCs/>
          <w:sz w:val="18"/>
          <w:szCs w:val="18"/>
          <w:lang w:val="es-ES_tradnl"/>
        </w:rPr>
        <w:t xml:space="preserve">Transdisciplina y Diseño, </w:t>
      </w:r>
      <w:r w:rsidRPr="004819B1">
        <w:rPr>
          <w:rFonts w:ascii="Times New Roman" w:hAnsi="Times New Roman" w:cs="Times New Roman"/>
          <w:bCs/>
          <w:sz w:val="18"/>
          <w:szCs w:val="18"/>
          <w:lang w:val="es-ES_tradnl"/>
        </w:rPr>
        <w:t>Guanuajuato: Universidad de Guanajuato.</w:t>
      </w:r>
    </w:p>
    <w:p w14:paraId="5D1A7C45"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López-León, R. y Encino, A. (2020) Ecoliteracy: Shaping the design process from a systems-based perspective. In R. Almendra y J. Ferreira (Eds.), </w:t>
      </w:r>
      <w:r w:rsidRPr="004819B1">
        <w:rPr>
          <w:rFonts w:ascii="Times New Roman" w:hAnsi="Times New Roman" w:cs="Times New Roman"/>
          <w:bCs/>
          <w:i/>
          <w:iCs/>
          <w:sz w:val="18"/>
          <w:szCs w:val="18"/>
          <w:lang w:val="en-US"/>
        </w:rPr>
        <w:t xml:space="preserve">Research &amp; Education in Design: People &amp; Processes &amp; Products &amp; Philosophy. </w:t>
      </w:r>
      <w:r w:rsidRPr="004819B1">
        <w:rPr>
          <w:rFonts w:ascii="Times New Roman" w:hAnsi="Times New Roman" w:cs="Times New Roman"/>
          <w:bCs/>
          <w:sz w:val="18"/>
          <w:szCs w:val="18"/>
          <w:lang w:val="en-US"/>
        </w:rPr>
        <w:t>London: Taylor and Francis.</w:t>
      </w:r>
    </w:p>
    <w:p w14:paraId="5C1E40E0"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Lotman, I.  (1990).  </w:t>
      </w:r>
      <w:r w:rsidRPr="004819B1">
        <w:rPr>
          <w:rFonts w:ascii="Times New Roman" w:hAnsi="Times New Roman" w:cs="Times New Roman"/>
          <w:bCs/>
          <w:i/>
          <w:iCs/>
          <w:sz w:val="18"/>
          <w:szCs w:val="18"/>
          <w:lang w:val="en-US"/>
        </w:rPr>
        <w:t>Universe  of  the  Mind:  A  Semiotic  Theory  of  Culture</w:t>
      </w:r>
      <w:r w:rsidRPr="004819B1">
        <w:rPr>
          <w:rFonts w:ascii="Times New Roman" w:hAnsi="Times New Roman" w:cs="Times New Roman"/>
          <w:bCs/>
          <w:sz w:val="18"/>
          <w:szCs w:val="18"/>
          <w:lang w:val="en-US"/>
        </w:rPr>
        <w:t>.  Bloomington, IN: Indiana University Press.</w:t>
      </w:r>
    </w:p>
    <w:p w14:paraId="0FABBB1A"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Lundberg, N. (2018). Experience Design in Leisure Studies, Parks, Recreation, and Tourism</w:t>
      </w:r>
      <w:r w:rsidRPr="004819B1">
        <w:rPr>
          <w:rFonts w:ascii="Times New Roman" w:hAnsi="Times New Roman" w:cs="Times New Roman"/>
          <w:bCs/>
          <w:i/>
          <w:iCs/>
          <w:sz w:val="18"/>
          <w:szCs w:val="18"/>
          <w:lang w:val="en-US"/>
        </w:rPr>
        <w:t>. Schole: A Journal Of Leisure Studies And Recreation Education 33</w:t>
      </w:r>
      <w:r w:rsidRPr="004819B1">
        <w:rPr>
          <w:rFonts w:ascii="Times New Roman" w:hAnsi="Times New Roman" w:cs="Times New Roman"/>
          <w:bCs/>
          <w:sz w:val="18"/>
          <w:szCs w:val="18"/>
          <w:lang w:val="en-US"/>
        </w:rPr>
        <w:t>(2), 55–65.</w:t>
      </w:r>
    </w:p>
    <w:p w14:paraId="4A35933C"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Manzini, E.; Rizzo, F. (2011). Small projects/large changes: Participatory design as an open participated process. </w:t>
      </w:r>
      <w:r w:rsidRPr="004819B1">
        <w:rPr>
          <w:rFonts w:ascii="Times New Roman" w:hAnsi="Times New Roman" w:cs="Times New Roman"/>
          <w:bCs/>
          <w:i/>
          <w:iCs/>
          <w:sz w:val="18"/>
          <w:szCs w:val="18"/>
          <w:lang w:val="en-US"/>
        </w:rPr>
        <w:t xml:space="preserve">CoDesign 7(3-4), </w:t>
      </w:r>
      <w:r w:rsidRPr="004819B1">
        <w:rPr>
          <w:rFonts w:ascii="Times New Roman" w:hAnsi="Times New Roman" w:cs="Times New Roman"/>
          <w:bCs/>
          <w:sz w:val="18"/>
          <w:szCs w:val="18"/>
          <w:lang w:val="en-US"/>
        </w:rPr>
        <w:t>199-215.</w:t>
      </w:r>
    </w:p>
    <w:p w14:paraId="045E46E2"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Muratovksy, G. (2015). Paradigm Shift: Report on the New Role of Design in Business and Society. </w:t>
      </w:r>
      <w:r w:rsidRPr="004819B1">
        <w:rPr>
          <w:rFonts w:ascii="Times New Roman" w:hAnsi="Times New Roman" w:cs="Times New Roman"/>
          <w:bCs/>
          <w:i/>
          <w:iCs/>
          <w:sz w:val="18"/>
          <w:szCs w:val="18"/>
          <w:lang w:val="en-US"/>
        </w:rPr>
        <w:t>She Ji, 1</w:t>
      </w:r>
      <w:r w:rsidRPr="004819B1">
        <w:rPr>
          <w:rFonts w:ascii="Times New Roman" w:hAnsi="Times New Roman" w:cs="Times New Roman"/>
          <w:bCs/>
          <w:sz w:val="18"/>
          <w:szCs w:val="18"/>
          <w:lang w:val="en-US"/>
        </w:rPr>
        <w:t>(2), 118-139.</w:t>
      </w:r>
    </w:p>
    <w:p w14:paraId="2FD1F6AA"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Neeley, M., Burgess, S., Duerden, M. D., &amp; Lundberg, N. (2020). Experience Design in Leisure and Recreation Curriculum. </w:t>
      </w:r>
      <w:r w:rsidRPr="004819B1">
        <w:rPr>
          <w:rFonts w:ascii="Times New Roman" w:hAnsi="Times New Roman" w:cs="Times New Roman"/>
          <w:bCs/>
          <w:i/>
          <w:iCs/>
          <w:sz w:val="18"/>
          <w:szCs w:val="18"/>
          <w:lang w:val="en-US"/>
        </w:rPr>
        <w:t>SCHOLE: A Journal of Leisure Studies and Recreation Education,</w:t>
      </w:r>
      <w:r w:rsidRPr="004819B1">
        <w:rPr>
          <w:rFonts w:ascii="Times New Roman" w:hAnsi="Times New Roman" w:cs="Times New Roman"/>
          <w:bCs/>
          <w:sz w:val="18"/>
          <w:szCs w:val="18"/>
          <w:lang w:val="pt-PT"/>
        </w:rPr>
        <w:t xml:space="preserve"> 1-9. doi:10.1080/1937156x.2020.1724019</w:t>
      </w:r>
    </w:p>
    <w:p w14:paraId="24F091D4"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Norman, D. A. (2016). When You Come to a Fork in the Road, Take It: The Future of Design*. </w:t>
      </w:r>
      <w:r w:rsidRPr="004819B1">
        <w:rPr>
          <w:rFonts w:ascii="Times New Roman" w:hAnsi="Times New Roman" w:cs="Times New Roman"/>
          <w:bCs/>
          <w:i/>
          <w:iCs/>
          <w:sz w:val="18"/>
          <w:szCs w:val="18"/>
          <w:lang w:val="en-US"/>
        </w:rPr>
        <w:t>She Ji: The Journal of Design, Economics, and Innovation,</w:t>
      </w:r>
      <w:r w:rsidRPr="004819B1">
        <w:rPr>
          <w:rFonts w:ascii="Times New Roman" w:hAnsi="Times New Roman" w:cs="Times New Roman"/>
          <w:bCs/>
          <w:sz w:val="18"/>
          <w:szCs w:val="18"/>
          <w:lang w:val="en-US"/>
        </w:rPr>
        <w:t xml:space="preserve"> </w:t>
      </w:r>
      <w:r w:rsidRPr="004819B1">
        <w:rPr>
          <w:rFonts w:ascii="Times New Roman" w:hAnsi="Times New Roman" w:cs="Times New Roman"/>
          <w:bCs/>
          <w:i/>
          <w:iCs/>
          <w:sz w:val="18"/>
          <w:szCs w:val="18"/>
          <w:lang w:val="en-US"/>
        </w:rPr>
        <w:t>2</w:t>
      </w:r>
      <w:r w:rsidRPr="004819B1">
        <w:rPr>
          <w:rFonts w:ascii="Times New Roman" w:hAnsi="Times New Roman" w:cs="Times New Roman"/>
          <w:bCs/>
          <w:sz w:val="18"/>
          <w:szCs w:val="18"/>
          <w:lang w:val="en-US"/>
        </w:rPr>
        <w:t>(4), 343-348. doi:10.1016/j.sheji.2017.07.003</w:t>
      </w:r>
    </w:p>
    <w:p w14:paraId="3C174317" w14:textId="77777777" w:rsidR="004819B1" w:rsidRPr="004819B1" w:rsidRDefault="004819B1" w:rsidP="004819B1">
      <w:pPr>
        <w:spacing w:line="360" w:lineRule="auto"/>
        <w:ind w:left="567" w:hanging="283"/>
        <w:rPr>
          <w:rFonts w:ascii="Times New Roman" w:hAnsi="Times New Roman" w:cs="Times New Roman"/>
          <w:bCs/>
          <w:i/>
          <w:iCs/>
          <w:sz w:val="18"/>
          <w:szCs w:val="18"/>
          <w:lang w:val="en-US"/>
        </w:rPr>
      </w:pPr>
      <w:r w:rsidRPr="004819B1">
        <w:rPr>
          <w:rFonts w:ascii="Times New Roman" w:hAnsi="Times New Roman" w:cs="Times New Roman"/>
          <w:bCs/>
          <w:sz w:val="18"/>
          <w:szCs w:val="18"/>
          <w:lang w:val="en-US"/>
        </w:rPr>
        <w:t>Noth. W. (2015). The topography of Yuri Lotman’</w:t>
      </w:r>
      <w:r w:rsidRPr="004819B1">
        <w:rPr>
          <w:rFonts w:ascii="Times New Roman" w:hAnsi="Times New Roman" w:cs="Times New Roman"/>
          <w:bCs/>
          <w:sz w:val="18"/>
          <w:szCs w:val="18"/>
          <w:lang w:val="it-IT"/>
        </w:rPr>
        <w:t xml:space="preserve">s semiosphere. </w:t>
      </w:r>
      <w:r w:rsidRPr="004819B1">
        <w:rPr>
          <w:rFonts w:ascii="Times New Roman" w:hAnsi="Times New Roman" w:cs="Times New Roman"/>
          <w:bCs/>
          <w:i/>
          <w:iCs/>
          <w:sz w:val="18"/>
          <w:szCs w:val="18"/>
          <w:lang w:val="en-US"/>
        </w:rPr>
        <w:t xml:space="preserve">International Journal of Cultural Studies, </w:t>
      </w:r>
      <w:r w:rsidRPr="004819B1">
        <w:rPr>
          <w:rFonts w:ascii="Times New Roman" w:hAnsi="Times New Roman" w:cs="Times New Roman"/>
          <w:bCs/>
          <w:sz w:val="18"/>
          <w:szCs w:val="18"/>
          <w:lang w:val="en-US"/>
        </w:rPr>
        <w:t>18(1)</w:t>
      </w:r>
      <w:r w:rsidRPr="004819B1">
        <w:rPr>
          <w:rFonts w:ascii="Times New Roman" w:hAnsi="Times New Roman" w:cs="Times New Roman"/>
          <w:bCs/>
          <w:i/>
          <w:iCs/>
          <w:sz w:val="18"/>
          <w:szCs w:val="18"/>
          <w:lang w:val="en-US"/>
        </w:rPr>
        <w:t xml:space="preserve"> 11 –</w:t>
      </w:r>
      <w:r w:rsidRPr="004819B1">
        <w:rPr>
          <w:rFonts w:ascii="Times New Roman" w:hAnsi="Times New Roman" w:cs="Times New Roman"/>
          <w:bCs/>
          <w:sz w:val="18"/>
          <w:szCs w:val="18"/>
          <w:lang w:val="en-US"/>
        </w:rPr>
        <w:t>26.</w:t>
      </w:r>
    </w:p>
    <w:p w14:paraId="6375915C"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bookmarkStart w:id="11" w:name="_Hlk51256018"/>
      <w:r w:rsidRPr="004819B1">
        <w:rPr>
          <w:rFonts w:ascii="Times New Roman" w:hAnsi="Times New Roman" w:cs="Times New Roman"/>
          <w:bCs/>
          <w:sz w:val="18"/>
          <w:szCs w:val="18"/>
          <w:lang w:val="en-US"/>
        </w:rPr>
        <w:t xml:space="preserve">Papanek, V. (1972). </w:t>
      </w:r>
      <w:r w:rsidRPr="004819B1">
        <w:rPr>
          <w:rFonts w:ascii="Times New Roman" w:hAnsi="Times New Roman" w:cs="Times New Roman"/>
          <w:bCs/>
          <w:i/>
          <w:iCs/>
          <w:sz w:val="18"/>
          <w:szCs w:val="18"/>
          <w:lang w:val="en-US"/>
        </w:rPr>
        <w:t>Design for the real world; human ecology and social change</w:t>
      </w:r>
      <w:r w:rsidRPr="004819B1">
        <w:rPr>
          <w:rFonts w:ascii="Times New Roman" w:hAnsi="Times New Roman" w:cs="Times New Roman"/>
          <w:bCs/>
          <w:sz w:val="18"/>
          <w:szCs w:val="18"/>
          <w:lang w:val="en-US"/>
        </w:rPr>
        <w:t>. New York: Pantheon Books.</w:t>
      </w:r>
    </w:p>
    <w:p w14:paraId="7D852726"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Rossman, J. R., &amp; Duerden, M. D. (2019). </w:t>
      </w:r>
      <w:r w:rsidRPr="004819B1">
        <w:rPr>
          <w:rFonts w:ascii="Times New Roman" w:hAnsi="Times New Roman" w:cs="Times New Roman"/>
          <w:bCs/>
          <w:i/>
          <w:iCs/>
          <w:sz w:val="18"/>
          <w:szCs w:val="18"/>
          <w:lang w:val="en-US"/>
        </w:rPr>
        <w:t>Designing experiences.</w:t>
      </w:r>
      <w:r w:rsidRPr="004819B1">
        <w:rPr>
          <w:rFonts w:ascii="Times New Roman" w:hAnsi="Times New Roman" w:cs="Times New Roman"/>
          <w:bCs/>
          <w:sz w:val="18"/>
          <w:szCs w:val="18"/>
          <w:lang w:val="en-US"/>
        </w:rPr>
        <w:t xml:space="preserve"> New York, NY: Columbia University Press</w:t>
      </w:r>
    </w:p>
    <w:p w14:paraId="783BEB51" w14:textId="77777777" w:rsidR="004819B1" w:rsidRPr="004819B1" w:rsidRDefault="004819B1" w:rsidP="004819B1">
      <w:pPr>
        <w:spacing w:line="360" w:lineRule="auto"/>
        <w:ind w:left="567" w:hanging="283"/>
        <w:rPr>
          <w:rFonts w:ascii="Times New Roman" w:hAnsi="Times New Roman" w:cs="Times New Roman"/>
          <w:bCs/>
          <w:sz w:val="18"/>
          <w:szCs w:val="18"/>
          <w:u w:val="single"/>
          <w:lang w:val="en-US"/>
        </w:rPr>
      </w:pPr>
      <w:r w:rsidRPr="004819B1">
        <w:rPr>
          <w:rFonts w:ascii="Times New Roman" w:hAnsi="Times New Roman" w:cs="Times New Roman"/>
          <w:bCs/>
          <w:sz w:val="18"/>
          <w:szCs w:val="18"/>
          <w:lang w:val="es-ES_tradnl"/>
        </w:rPr>
        <w:t xml:space="preserve">Safian, R. (01 de septiembre de 2012). </w:t>
      </w:r>
      <w:r w:rsidRPr="004819B1">
        <w:rPr>
          <w:rFonts w:ascii="Times New Roman" w:hAnsi="Times New Roman" w:cs="Times New Roman"/>
          <w:bCs/>
          <w:i/>
          <w:iCs/>
          <w:sz w:val="18"/>
          <w:szCs w:val="18"/>
          <w:lang w:val="en-US"/>
        </w:rPr>
        <w:t xml:space="preserve">This Is Generation Flux: Meet The Pioneers Of The New (And Chaotic) Frontier Of Business. </w:t>
      </w:r>
      <w:r w:rsidRPr="004819B1">
        <w:rPr>
          <w:rFonts w:ascii="Times New Roman" w:hAnsi="Times New Roman" w:cs="Times New Roman"/>
          <w:bCs/>
          <w:sz w:val="18"/>
          <w:szCs w:val="18"/>
          <w:lang w:val="en-US"/>
        </w:rPr>
        <w:t xml:space="preserve">Fast Company, </w:t>
      </w:r>
      <w:hyperlink r:id="rId17" w:history="1">
        <w:r w:rsidRPr="004819B1">
          <w:rPr>
            <w:rStyle w:val="Hipervnculo"/>
            <w:rFonts w:ascii="Times New Roman" w:hAnsi="Times New Roman" w:cs="Times New Roman"/>
            <w:bCs/>
            <w:sz w:val="18"/>
            <w:szCs w:val="18"/>
            <w:lang w:val="en-US"/>
          </w:rPr>
          <w:t>https://www.fastcompany.com/1802732/generation-flux-meet-pioneers-new-and-chaotic-frontier-business</w:t>
        </w:r>
      </w:hyperlink>
    </w:p>
    <w:p w14:paraId="2DBF6ED9"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s-ES_tradnl"/>
        </w:rPr>
        <w:t xml:space="preserve">Simpson, K. (25 de Julio de 2014). </w:t>
      </w:r>
      <w:r w:rsidRPr="004819B1">
        <w:rPr>
          <w:rFonts w:ascii="Times New Roman" w:hAnsi="Times New Roman" w:cs="Times New Roman"/>
          <w:bCs/>
          <w:sz w:val="18"/>
          <w:szCs w:val="18"/>
          <w:lang w:val="en-US"/>
        </w:rPr>
        <w:t xml:space="preserve">Generation Flux &amp; the T-Shaped Professional. </w:t>
      </w:r>
      <w:r w:rsidRPr="004819B1">
        <w:rPr>
          <w:rFonts w:ascii="Times New Roman" w:hAnsi="Times New Roman" w:cs="Times New Roman"/>
          <w:bCs/>
          <w:i/>
          <w:iCs/>
          <w:sz w:val="18"/>
          <w:szCs w:val="18"/>
          <w:lang w:val="en-US"/>
        </w:rPr>
        <w:t>Slaw.</w:t>
      </w:r>
      <w:r w:rsidRPr="004819B1">
        <w:rPr>
          <w:rFonts w:ascii="Times New Roman" w:hAnsi="Times New Roman" w:cs="Times New Roman"/>
          <w:bCs/>
          <w:sz w:val="18"/>
          <w:szCs w:val="18"/>
          <w:lang w:val="en-US"/>
        </w:rPr>
        <w:t xml:space="preserve"> </w:t>
      </w:r>
      <w:hyperlink r:id="rId18" w:history="1">
        <w:r w:rsidRPr="004819B1">
          <w:rPr>
            <w:rStyle w:val="Hipervnculo"/>
            <w:rFonts w:ascii="Times New Roman" w:hAnsi="Times New Roman" w:cs="Times New Roman"/>
            <w:bCs/>
            <w:sz w:val="18"/>
            <w:szCs w:val="18"/>
            <w:lang w:val="en-US"/>
          </w:rPr>
          <w:t>http://www.slaw.ca/2014/07/25/generation-flux-the-t-shaped-professional/</w:t>
        </w:r>
      </w:hyperlink>
    </w:p>
    <w:p w14:paraId="240C4E61" w14:textId="77777777" w:rsidR="004819B1" w:rsidRPr="004819B1" w:rsidRDefault="004819B1" w:rsidP="004819B1">
      <w:pPr>
        <w:spacing w:line="360" w:lineRule="auto"/>
        <w:ind w:left="567" w:hanging="283"/>
        <w:rPr>
          <w:rFonts w:ascii="Times New Roman" w:hAnsi="Times New Roman" w:cs="Times New Roman"/>
          <w:bCs/>
          <w:sz w:val="18"/>
          <w:szCs w:val="18"/>
        </w:rPr>
      </w:pPr>
      <w:r w:rsidRPr="004819B1">
        <w:rPr>
          <w:rFonts w:ascii="Times New Roman" w:hAnsi="Times New Roman" w:cs="Times New Roman"/>
          <w:bCs/>
          <w:sz w:val="18"/>
          <w:szCs w:val="18"/>
          <w:lang w:val="es-ES_tradnl"/>
        </w:rPr>
        <w:t xml:space="preserve">Sebek, A. y Jones, J. (2020). </w:t>
      </w:r>
      <w:r w:rsidRPr="004819B1">
        <w:rPr>
          <w:rFonts w:ascii="Times New Roman" w:hAnsi="Times New Roman" w:cs="Times New Roman"/>
          <w:bCs/>
          <w:sz w:val="18"/>
          <w:szCs w:val="18"/>
          <w:lang w:val="en-US"/>
        </w:rPr>
        <w:t xml:space="preserve">Immersion in the Workplace: A Unique Model for Students to Engage in Real-World Service Design. </w:t>
      </w:r>
      <w:r w:rsidRPr="004819B1">
        <w:rPr>
          <w:rFonts w:ascii="Times New Roman" w:hAnsi="Times New Roman" w:cs="Times New Roman"/>
          <w:bCs/>
          <w:i/>
          <w:iCs/>
          <w:sz w:val="18"/>
          <w:szCs w:val="18"/>
        </w:rPr>
        <w:t>Cuadernos del Centro de Estudios en Diseño y Comunicación</w:t>
      </w:r>
      <w:r w:rsidRPr="004819B1">
        <w:rPr>
          <w:rFonts w:ascii="Times New Roman" w:hAnsi="Times New Roman" w:cs="Times New Roman"/>
          <w:bCs/>
          <w:sz w:val="18"/>
          <w:szCs w:val="18"/>
        </w:rPr>
        <w:t xml:space="preserve"> </w:t>
      </w:r>
      <w:r w:rsidRPr="004819B1">
        <w:rPr>
          <w:rFonts w:ascii="Times New Roman" w:hAnsi="Times New Roman" w:cs="Times New Roman"/>
          <w:bCs/>
          <w:i/>
          <w:iCs/>
          <w:sz w:val="18"/>
          <w:szCs w:val="18"/>
        </w:rPr>
        <w:t>78</w:t>
      </w:r>
      <w:r w:rsidRPr="004819B1">
        <w:rPr>
          <w:rFonts w:ascii="Times New Roman" w:hAnsi="Times New Roman" w:cs="Times New Roman"/>
          <w:bCs/>
          <w:sz w:val="18"/>
          <w:szCs w:val="18"/>
        </w:rPr>
        <w:t>, 227-245.</w:t>
      </w:r>
    </w:p>
    <w:p w14:paraId="0727A706"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rPr>
        <w:t xml:space="preserve">Stickdorn, M.; Schneider, J. (2012). </w:t>
      </w:r>
      <w:r w:rsidRPr="004819B1">
        <w:rPr>
          <w:rFonts w:ascii="Times New Roman" w:hAnsi="Times New Roman" w:cs="Times New Roman"/>
          <w:bCs/>
          <w:i/>
          <w:iCs/>
          <w:sz w:val="18"/>
          <w:szCs w:val="18"/>
          <w:lang w:val="en-US"/>
        </w:rPr>
        <w:t>This is service design thinking: basics, tools, cases</w:t>
      </w:r>
      <w:r w:rsidRPr="004819B1">
        <w:rPr>
          <w:rFonts w:ascii="Times New Roman" w:hAnsi="Times New Roman" w:cs="Times New Roman"/>
          <w:bCs/>
          <w:sz w:val="18"/>
          <w:szCs w:val="18"/>
          <w:lang w:val="en-US"/>
        </w:rPr>
        <w:t xml:space="preserve">. </w:t>
      </w:r>
      <w:r w:rsidRPr="004819B1">
        <w:rPr>
          <w:rFonts w:ascii="Times New Roman" w:hAnsi="Times New Roman" w:cs="Times New Roman"/>
          <w:bCs/>
          <w:sz w:val="18"/>
          <w:szCs w:val="18"/>
          <w:lang w:val="es-ES_tradnl"/>
        </w:rPr>
        <w:t>Hoboken: Wiley and Sons.</w:t>
      </w:r>
    </w:p>
    <w:p w14:paraId="173F451C"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s-ES_tradnl"/>
        </w:rPr>
        <w:lastRenderedPageBreak/>
        <w:t xml:space="preserve">Stivale, S. (2020). Los caminos del Diseño Sustentable y sus vinculaciones con la investigación en diseño. </w:t>
      </w:r>
      <w:r w:rsidRPr="004819B1">
        <w:rPr>
          <w:rFonts w:ascii="Times New Roman" w:hAnsi="Times New Roman" w:cs="Times New Roman"/>
          <w:bCs/>
          <w:i/>
          <w:iCs/>
          <w:sz w:val="18"/>
          <w:szCs w:val="18"/>
          <w:lang w:val="es-ES_tradnl"/>
        </w:rPr>
        <w:t xml:space="preserve">. Cuadernos del Centro de Estudios en Diseño y Comunicación 80, p. </w:t>
      </w:r>
      <w:r w:rsidRPr="004819B1">
        <w:rPr>
          <w:rFonts w:ascii="Times New Roman" w:hAnsi="Times New Roman" w:cs="Times New Roman"/>
          <w:bCs/>
          <w:sz w:val="18"/>
          <w:szCs w:val="18"/>
          <w:lang w:val="es-ES_tradnl"/>
        </w:rPr>
        <w:t>79-90.</w:t>
      </w:r>
    </w:p>
    <w:p w14:paraId="714AF1ED"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n-US"/>
        </w:rPr>
        <w:t xml:space="preserve">Stickdorn, C. y Fuad-Luke, A. (2008). </w:t>
      </w:r>
      <w:bookmarkEnd w:id="11"/>
      <w:r w:rsidRPr="004819B1">
        <w:rPr>
          <w:rFonts w:ascii="Times New Roman" w:hAnsi="Times New Roman" w:cs="Times New Roman"/>
          <w:bCs/>
          <w:sz w:val="18"/>
          <w:szCs w:val="18"/>
          <w:lang w:val="en-US"/>
        </w:rPr>
        <w:t xml:space="preserve">The Slow Design Principles A new interrogative and reflexive tool for design research and practice. </w:t>
      </w:r>
      <w:r w:rsidRPr="004819B1">
        <w:rPr>
          <w:rFonts w:ascii="Times New Roman" w:hAnsi="Times New Roman" w:cs="Times New Roman"/>
          <w:bCs/>
          <w:sz w:val="18"/>
          <w:szCs w:val="18"/>
          <w:lang w:val="es-ES_tradnl"/>
        </w:rPr>
        <w:t xml:space="preserve">Recuperado de: </w:t>
      </w:r>
      <w:hyperlink r:id="rId19" w:history="1">
        <w:r w:rsidRPr="004819B1">
          <w:rPr>
            <w:rStyle w:val="Hipervnculo"/>
            <w:rFonts w:ascii="Times New Roman" w:hAnsi="Times New Roman" w:cs="Times New Roman"/>
            <w:bCs/>
            <w:sz w:val="18"/>
            <w:szCs w:val="18"/>
            <w:lang w:val="es-ES_tradnl"/>
          </w:rPr>
          <w:t>https://raaf.org/pdfs/Slow_Design_Principles.pdf</w:t>
        </w:r>
      </w:hyperlink>
    </w:p>
    <w:p w14:paraId="632FF81F"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rPr>
        <w:t xml:space="preserve">TDC, The Design Council, (2007). </w:t>
      </w:r>
      <w:r w:rsidRPr="004819B1">
        <w:rPr>
          <w:rFonts w:ascii="Times New Roman" w:hAnsi="Times New Roman" w:cs="Times New Roman"/>
          <w:bCs/>
          <w:sz w:val="18"/>
          <w:szCs w:val="18"/>
          <w:lang w:val="en-US"/>
        </w:rPr>
        <w:t xml:space="preserve">Eleven lessons: managing design in eleven global brands. A study of the design process. Recuperado de </w:t>
      </w:r>
      <w:hyperlink r:id="rId20" w:history="1">
        <w:r w:rsidRPr="004819B1">
          <w:rPr>
            <w:rStyle w:val="Hipervnculo"/>
            <w:rFonts w:ascii="Times New Roman" w:hAnsi="Times New Roman" w:cs="Times New Roman"/>
            <w:bCs/>
            <w:sz w:val="18"/>
            <w:szCs w:val="18"/>
            <w:lang w:val="en-US"/>
          </w:rPr>
          <w:t>https://www.designcouncil.org.uk/resources/report/11-lessons-managing-design-global-brands</w:t>
        </w:r>
      </w:hyperlink>
    </w:p>
    <w:p w14:paraId="424EB42C"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Topaloğlu, F. y Er, O. (2017) Discussing a New Direction for Design Management through a New Design Management Audit Framework. </w:t>
      </w:r>
      <w:r w:rsidRPr="004819B1">
        <w:rPr>
          <w:rFonts w:ascii="Times New Roman" w:hAnsi="Times New Roman" w:cs="Times New Roman"/>
          <w:bCs/>
          <w:i/>
          <w:iCs/>
          <w:sz w:val="18"/>
          <w:szCs w:val="18"/>
          <w:lang w:val="en-US"/>
        </w:rPr>
        <w:t>The Design Journal</w:t>
      </w:r>
      <w:r w:rsidRPr="004819B1">
        <w:rPr>
          <w:rFonts w:ascii="Times New Roman" w:hAnsi="Times New Roman" w:cs="Times New Roman"/>
          <w:bCs/>
          <w:sz w:val="18"/>
          <w:szCs w:val="18"/>
          <w:lang w:val="en-US"/>
        </w:rPr>
        <w:t>, 20(1), S502-S521.</w:t>
      </w:r>
    </w:p>
    <w:p w14:paraId="6062DFF0"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Trischler, J., Pervan, S. J., Kelly, S. J., &amp; Scott, D. R. (2018). The Value of Codesign: The Effect of Customer Involvement in Service Design Teams. </w:t>
      </w:r>
      <w:r w:rsidRPr="004819B1">
        <w:rPr>
          <w:rFonts w:ascii="Times New Roman" w:hAnsi="Times New Roman" w:cs="Times New Roman"/>
          <w:bCs/>
          <w:i/>
          <w:iCs/>
          <w:sz w:val="18"/>
          <w:szCs w:val="18"/>
          <w:lang w:val="en-US"/>
        </w:rPr>
        <w:t>Journal of Service Research</w:t>
      </w:r>
      <w:r w:rsidRPr="004819B1">
        <w:rPr>
          <w:rFonts w:ascii="Times New Roman" w:hAnsi="Times New Roman" w:cs="Times New Roman"/>
          <w:bCs/>
          <w:sz w:val="18"/>
          <w:szCs w:val="18"/>
          <w:lang w:val="en-US"/>
        </w:rPr>
        <w:t>, </w:t>
      </w:r>
      <w:r w:rsidRPr="004819B1">
        <w:rPr>
          <w:rFonts w:ascii="Times New Roman" w:hAnsi="Times New Roman" w:cs="Times New Roman"/>
          <w:bCs/>
          <w:i/>
          <w:iCs/>
          <w:sz w:val="18"/>
          <w:szCs w:val="18"/>
          <w:lang w:val="en-US"/>
        </w:rPr>
        <w:t>21</w:t>
      </w:r>
      <w:r w:rsidRPr="004819B1">
        <w:rPr>
          <w:rFonts w:ascii="Times New Roman" w:hAnsi="Times New Roman" w:cs="Times New Roman"/>
          <w:bCs/>
          <w:sz w:val="18"/>
          <w:szCs w:val="18"/>
          <w:lang w:val="en-US"/>
        </w:rPr>
        <w:t>(1), 75–100. </w:t>
      </w:r>
    </w:p>
    <w:p w14:paraId="4C35DFDD"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Tversky, B. (2019). </w:t>
      </w:r>
      <w:r w:rsidRPr="004819B1">
        <w:rPr>
          <w:rFonts w:ascii="Times New Roman" w:hAnsi="Times New Roman" w:cs="Times New Roman"/>
          <w:bCs/>
          <w:i/>
          <w:iCs/>
          <w:sz w:val="18"/>
          <w:szCs w:val="18"/>
          <w:lang w:val="en-US"/>
        </w:rPr>
        <w:t xml:space="preserve">Mind in Motion: How Action Shapes Thought. </w:t>
      </w:r>
      <w:r w:rsidRPr="004819B1">
        <w:rPr>
          <w:rFonts w:ascii="Times New Roman" w:hAnsi="Times New Roman" w:cs="Times New Roman"/>
          <w:bCs/>
          <w:sz w:val="18"/>
          <w:szCs w:val="18"/>
          <w:lang w:val="en-US"/>
        </w:rPr>
        <w:t>New York: Basic Books.</w:t>
      </w:r>
    </w:p>
    <w:p w14:paraId="49DA0DC8"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Vignati, A., Luca Fois, L., Melazzini, M., Pei, X., y Zurlo, F., (2017) E-LEARNING AND DESIGN PRACTICE. Tools and methods for professional learning of strategic design approach, </w:t>
      </w:r>
      <w:r w:rsidRPr="004819B1">
        <w:rPr>
          <w:rFonts w:ascii="Times New Roman" w:hAnsi="Times New Roman" w:cs="Times New Roman"/>
          <w:bCs/>
          <w:i/>
          <w:iCs/>
          <w:sz w:val="18"/>
          <w:szCs w:val="18"/>
          <w:lang w:val="en-US"/>
        </w:rPr>
        <w:t>The Design Journal</w:t>
      </w:r>
      <w:r w:rsidRPr="004819B1">
        <w:rPr>
          <w:rFonts w:ascii="Times New Roman" w:hAnsi="Times New Roman" w:cs="Times New Roman"/>
          <w:bCs/>
          <w:sz w:val="18"/>
          <w:szCs w:val="18"/>
          <w:lang w:val="en-US"/>
        </w:rPr>
        <w:t>, 20(1), S1026-S1036, DOI: 10.1080/14606925.2017.1353046</w:t>
      </w:r>
    </w:p>
    <w:p w14:paraId="37607CB2" w14:textId="4D4F8C18" w:rsidR="004819B1" w:rsidRDefault="004819B1" w:rsidP="004819B1">
      <w:pPr>
        <w:spacing w:line="360" w:lineRule="auto"/>
        <w:ind w:left="567" w:hanging="283"/>
        <w:rPr>
          <w:rFonts w:ascii="Times New Roman" w:hAnsi="Times New Roman" w:cs="Times New Roman"/>
          <w:bCs/>
          <w:sz w:val="18"/>
          <w:szCs w:val="18"/>
        </w:rPr>
      </w:pPr>
      <w:r w:rsidRPr="004819B1">
        <w:rPr>
          <w:rFonts w:ascii="Times New Roman" w:hAnsi="Times New Roman" w:cs="Times New Roman"/>
          <w:bCs/>
          <w:sz w:val="18"/>
          <w:szCs w:val="18"/>
          <w:lang w:val="es-ES_tradnl"/>
        </w:rPr>
        <w:t xml:space="preserve">Viladas, X. (2010). </w:t>
      </w:r>
      <w:r w:rsidRPr="004819B1">
        <w:rPr>
          <w:rFonts w:ascii="Times New Roman" w:hAnsi="Times New Roman" w:cs="Times New Roman"/>
          <w:bCs/>
          <w:i/>
          <w:iCs/>
          <w:sz w:val="18"/>
          <w:szCs w:val="18"/>
          <w:lang w:val="es-ES_tradnl"/>
        </w:rPr>
        <w:t xml:space="preserve">Diseño Rentable: Diez temas a Debate. </w:t>
      </w:r>
      <w:r w:rsidRPr="004819B1">
        <w:rPr>
          <w:rFonts w:ascii="Times New Roman" w:hAnsi="Times New Roman" w:cs="Times New Roman"/>
          <w:bCs/>
          <w:sz w:val="18"/>
          <w:szCs w:val="18"/>
          <w:lang w:val="es-ES_tradnl"/>
        </w:rPr>
        <w:t>Barcelona:</w:t>
      </w:r>
      <w:r w:rsidRPr="004819B1">
        <w:rPr>
          <w:rFonts w:ascii="Times New Roman" w:hAnsi="Times New Roman" w:cs="Times New Roman"/>
          <w:bCs/>
          <w:i/>
          <w:iCs/>
          <w:sz w:val="18"/>
          <w:szCs w:val="18"/>
          <w:lang w:val="es-ES_tradnl"/>
        </w:rPr>
        <w:t xml:space="preserve"> </w:t>
      </w:r>
      <w:r w:rsidRPr="004819B1">
        <w:rPr>
          <w:rFonts w:ascii="Times New Roman" w:hAnsi="Times New Roman" w:cs="Times New Roman"/>
          <w:bCs/>
          <w:sz w:val="18"/>
          <w:szCs w:val="18"/>
          <w:lang w:val="es-ES_tradnl"/>
        </w:rPr>
        <w:t>Index Books.</w:t>
      </w:r>
    </w:p>
    <w:p w14:paraId="4003544F" w14:textId="77777777" w:rsidR="001D39FF" w:rsidRPr="001D39FF" w:rsidRDefault="001D39FF" w:rsidP="001D39FF">
      <w:pPr>
        <w:spacing w:line="360" w:lineRule="auto"/>
        <w:rPr>
          <w:rFonts w:ascii="Times New Roman" w:hAnsi="Times New Roman" w:cs="Times New Roman"/>
          <w:bCs/>
          <w:sz w:val="18"/>
          <w:szCs w:val="18"/>
        </w:rPr>
      </w:pPr>
    </w:p>
    <w:p w14:paraId="441E2CAE" w14:textId="67C377C7" w:rsidR="00304499" w:rsidRDefault="00304499" w:rsidP="00304499">
      <w:pPr>
        <w:spacing w:line="360" w:lineRule="auto"/>
        <w:rPr>
          <w:rFonts w:ascii="Times New Roman" w:hAnsi="Times New Roman" w:cs="Times New Roman"/>
          <w:b/>
        </w:rPr>
      </w:pPr>
    </w:p>
    <w:p w14:paraId="3BBB9595" w14:textId="77777777" w:rsidR="00304499" w:rsidRPr="001D39FF" w:rsidRDefault="00304499" w:rsidP="00304499">
      <w:pPr>
        <w:spacing w:line="360" w:lineRule="auto"/>
        <w:rPr>
          <w:rFonts w:ascii="Times New Roman" w:hAnsi="Times New Roman" w:cs="Times New Roman"/>
          <w:lang w:val="es-ES"/>
        </w:rPr>
      </w:pPr>
      <w:bookmarkStart w:id="12" w:name="_GoBack"/>
      <w:bookmarkEnd w:id="12"/>
    </w:p>
    <w:sectPr w:rsidR="00304499" w:rsidRPr="001D39FF" w:rsidSect="0009291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Autor" w:initials="A">
    <w:p w14:paraId="205FB219" w14:textId="03F212FA" w:rsidR="00A50552" w:rsidRDefault="00A50552">
      <w:pPr>
        <w:pStyle w:val="Textocomentario"/>
      </w:pPr>
      <w:r>
        <w:rPr>
          <w:rStyle w:val="Refdecomentario"/>
        </w:rPr>
        <w:annotationRef/>
      </w:r>
      <w:r>
        <w:t>Más que palabra es un concepto pero parece el autor quiere señalar la disciplina del diseño. El diseño como disciplina cada vez es más difícil de definir. Al…</w:t>
      </w:r>
    </w:p>
  </w:comment>
  <w:comment w:id="3" w:author="Autor" w:initials="A">
    <w:p w14:paraId="78CEA4A2" w14:textId="7F664629" w:rsidR="00A50552" w:rsidRDefault="00A50552">
      <w:pPr>
        <w:pStyle w:val="Textocomentario"/>
      </w:pPr>
      <w:r>
        <w:rPr>
          <w:rStyle w:val="Refdecomentario"/>
        </w:rPr>
        <w:annotationRef/>
      </w:r>
      <w:r>
        <w:t>Es cita textual, hace falta entrecomillar</w:t>
      </w:r>
    </w:p>
  </w:comment>
  <w:comment w:id="4" w:author="Autor" w:initials="A">
    <w:p w14:paraId="09BD8C02" w14:textId="6460A496" w:rsidR="00A50552" w:rsidRDefault="00A50552">
      <w:pPr>
        <w:pStyle w:val="Textocomentario"/>
      </w:pPr>
      <w:r>
        <w:rPr>
          <w:rStyle w:val="Refdecomentario"/>
        </w:rPr>
        <w:annotationRef/>
      </w:r>
      <w:r>
        <w:t>Es decir,</w:t>
      </w:r>
    </w:p>
  </w:comment>
  <w:comment w:id="5" w:author="Autor" w:initials="A">
    <w:p w14:paraId="707445F0" w14:textId="5533386A" w:rsidR="00443B4B" w:rsidRDefault="00443B4B">
      <w:pPr>
        <w:pStyle w:val="Textocomentario"/>
      </w:pPr>
      <w:r>
        <w:rPr>
          <w:rStyle w:val="Refdecomentario"/>
        </w:rPr>
        <w:annotationRef/>
      </w:r>
      <w:r>
        <w:t>Omitir o hace falta un guión para unir las dos palabras si es la idea</w:t>
      </w:r>
    </w:p>
  </w:comment>
  <w:comment w:id="6" w:author="Autor" w:initials="A">
    <w:p w14:paraId="2908213C" w14:textId="25C0436D" w:rsidR="00443B4B" w:rsidRDefault="00443B4B">
      <w:pPr>
        <w:pStyle w:val="Textocomentario"/>
      </w:pPr>
      <w:r>
        <w:rPr>
          <w:rStyle w:val="Refdecomentario"/>
        </w:rPr>
        <w:annotationRef/>
      </w:r>
      <w:r>
        <w:t>Falta entrecomillado</w:t>
      </w:r>
    </w:p>
  </w:comment>
  <w:comment w:id="7" w:author="Autor" w:initials="A">
    <w:p w14:paraId="71B40F52" w14:textId="6721A29F" w:rsidR="00F8791C" w:rsidRDefault="00F8791C">
      <w:pPr>
        <w:pStyle w:val="Textocomentario"/>
      </w:pPr>
      <w:r>
        <w:rPr>
          <w:rStyle w:val="Refdecomentario"/>
        </w:rPr>
        <w:annotationRef/>
      </w:r>
      <w:r>
        <w:t>Cita textual, falta número de página</w:t>
      </w:r>
    </w:p>
  </w:comment>
  <w:comment w:id="8" w:author="Autor" w:initials="A">
    <w:p w14:paraId="1068A8CC" w14:textId="56645213" w:rsidR="00F8791C" w:rsidRDefault="00F8791C">
      <w:pPr>
        <w:pStyle w:val="Textocomentario"/>
      </w:pPr>
      <w:r>
        <w:rPr>
          <w:rStyle w:val="Refdecomentario"/>
        </w:rPr>
        <w:annotationRef/>
      </w:r>
      <w:r>
        <w:t>Cita textual, falta número de página</w:t>
      </w:r>
    </w:p>
  </w:comment>
  <w:comment w:id="9" w:author="Autor" w:initials="A">
    <w:p w14:paraId="61AD9444" w14:textId="7DE4526E" w:rsidR="00F8791C" w:rsidRDefault="00F8791C">
      <w:pPr>
        <w:pStyle w:val="Textocomentario"/>
      </w:pPr>
      <w:r>
        <w:rPr>
          <w:rStyle w:val="Refdecomentario"/>
        </w:rPr>
        <w:annotationRef/>
      </w:r>
      <w:r>
        <w:t>actualidad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05FB219" w15:done="0"/>
  <w15:commentEx w15:paraId="78CEA4A2" w15:done="0"/>
  <w15:commentEx w15:paraId="09BD8C02" w15:done="0"/>
  <w15:commentEx w15:paraId="707445F0" w15:done="0"/>
  <w15:commentEx w15:paraId="2908213C" w15:done="0"/>
  <w15:commentEx w15:paraId="71B40F52" w15:done="0"/>
  <w15:commentEx w15:paraId="1068A8CC" w15:done="0"/>
  <w15:commentEx w15:paraId="61AD944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FDB284" w14:textId="77777777" w:rsidR="005F5B1C" w:rsidRDefault="005F5B1C" w:rsidP="00304499">
      <w:r>
        <w:separator/>
      </w:r>
    </w:p>
  </w:endnote>
  <w:endnote w:type="continuationSeparator" w:id="0">
    <w:p w14:paraId="72FFE506" w14:textId="77777777" w:rsidR="005F5B1C" w:rsidRDefault="005F5B1C"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Roboto">
    <w:altName w:val="Arial"/>
    <w:charset w:val="00"/>
    <w:family w:val="auto"/>
    <w:pitch w:val="variable"/>
    <w:sig w:usb0="E00002FF" w:usb1="5000205B" w:usb2="00000020" w:usb3="00000000" w:csb0="0000019F" w:csb1="00000000"/>
  </w:font>
  <w:font w:name="Roboto Light">
    <w:altName w:val="Arial"/>
    <w:charset w:val="00"/>
    <w:family w:val="auto"/>
    <w:pitch w:val="variable"/>
    <w:sig w:usb0="E00002FF" w:usb1="5000205B" w:usb2="00000020" w:usb3="00000000" w:csb0="0000019F" w:csb1="00000000"/>
  </w:font>
  <w:font w:name="Vrinda">
    <w:altName w:val="Courier New"/>
    <w:panose1 w:val="00000400000000000000"/>
    <w:charset w:val="00"/>
    <w:family w:val="swiss"/>
    <w:pitch w:val="variable"/>
    <w:sig w:usb0="00000003" w:usb1="00000000" w:usb2="00000000" w:usb3="00000000" w:csb0="00000001" w:csb1="00000000"/>
  </w:font>
  <w:font w:name="Minion Pro">
    <w:charset w:val="00"/>
    <w:family w:val="roman"/>
    <w:pitch w:val="variable"/>
    <w:sig w:usb0="60000287" w:usb1="00000001" w:usb2="00000000" w:usb3="00000000" w:csb0="0000019F" w:csb1="00000000"/>
  </w:font>
  <w:font w:name="Roboto Medium">
    <w:altName w:val="Arial"/>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EBCB20" w14:textId="77777777" w:rsidR="005F5B1C" w:rsidRDefault="005F5B1C" w:rsidP="00304499">
      <w:r>
        <w:separator/>
      </w:r>
    </w:p>
  </w:footnote>
  <w:footnote w:type="continuationSeparator" w:id="0">
    <w:p w14:paraId="14F91E15" w14:textId="77777777" w:rsidR="005F5B1C" w:rsidRDefault="005F5B1C" w:rsidP="0030449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834A3"/>
    <w:multiLevelType w:val="hybridMultilevel"/>
    <w:tmpl w:val="71321312"/>
    <w:numStyleLink w:val="Estiloimportado4"/>
  </w:abstractNum>
  <w:abstractNum w:abstractNumId="2" w15:restartNumberingAfterBreak="0">
    <w:nsid w:val="0FEA3B1A"/>
    <w:multiLevelType w:val="hybridMultilevel"/>
    <w:tmpl w:val="07DAB134"/>
    <w:styleLink w:val="Estiloimportado1"/>
    <w:lvl w:ilvl="0" w:tplc="B61CC8C6">
      <w:start w:val="1"/>
      <w:numFmt w:val="lowerLetter"/>
      <w:lvlText w:val="%1)"/>
      <w:lvlJc w:val="left"/>
      <w:pPr>
        <w:ind w:left="786"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260493A">
      <w:start w:val="1"/>
      <w:numFmt w:val="lowerLetter"/>
      <w:lvlText w:val="%2."/>
      <w:lvlJc w:val="left"/>
      <w:pPr>
        <w:ind w:left="1506"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D52F3E2">
      <w:start w:val="1"/>
      <w:numFmt w:val="lowerRoman"/>
      <w:lvlText w:val="%3."/>
      <w:lvlJc w:val="left"/>
      <w:pPr>
        <w:ind w:left="2226"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C5A60F2C">
      <w:start w:val="1"/>
      <w:numFmt w:val="decimal"/>
      <w:lvlText w:val="%4."/>
      <w:lvlJc w:val="left"/>
      <w:pPr>
        <w:ind w:left="2946"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1BA51B6">
      <w:start w:val="1"/>
      <w:numFmt w:val="lowerLetter"/>
      <w:lvlText w:val="%5."/>
      <w:lvlJc w:val="left"/>
      <w:pPr>
        <w:ind w:left="3666"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338584E">
      <w:start w:val="1"/>
      <w:numFmt w:val="lowerRoman"/>
      <w:lvlText w:val="%6."/>
      <w:lvlJc w:val="left"/>
      <w:pPr>
        <w:ind w:left="4386"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21A632FE">
      <w:start w:val="1"/>
      <w:numFmt w:val="decimal"/>
      <w:lvlText w:val="%7."/>
      <w:lvlJc w:val="left"/>
      <w:pPr>
        <w:ind w:left="5106"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01EF144">
      <w:start w:val="1"/>
      <w:numFmt w:val="lowerLetter"/>
      <w:lvlText w:val="%8."/>
      <w:lvlJc w:val="left"/>
      <w:pPr>
        <w:ind w:left="5826"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07E559E">
      <w:start w:val="1"/>
      <w:numFmt w:val="lowerRoman"/>
      <w:lvlText w:val="%9."/>
      <w:lvlJc w:val="left"/>
      <w:pPr>
        <w:ind w:left="6546"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3E904D0"/>
    <w:multiLevelType w:val="hybridMultilevel"/>
    <w:tmpl w:val="07DAB134"/>
    <w:numStyleLink w:val="Estiloimportado1"/>
  </w:abstractNum>
  <w:abstractNum w:abstractNumId="4" w15:restartNumberingAfterBreak="0">
    <w:nsid w:val="2CBD7E9F"/>
    <w:multiLevelType w:val="hybridMultilevel"/>
    <w:tmpl w:val="FDE6F86A"/>
    <w:styleLink w:val="Estiloimportado5"/>
    <w:lvl w:ilvl="0" w:tplc="AD287B7C">
      <w:start w:val="1"/>
      <w:numFmt w:val="bullet"/>
      <w:lvlText w:val="·"/>
      <w:lvlJc w:val="left"/>
      <w:pPr>
        <w:ind w:left="7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9684B44">
      <w:start w:val="1"/>
      <w:numFmt w:val="bullet"/>
      <w:lvlText w:val="o"/>
      <w:lvlJc w:val="left"/>
      <w:pPr>
        <w:ind w:left="15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05E55C6">
      <w:start w:val="1"/>
      <w:numFmt w:val="bullet"/>
      <w:lvlText w:val="▪"/>
      <w:lvlJc w:val="left"/>
      <w:pPr>
        <w:ind w:left="22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2800872">
      <w:start w:val="1"/>
      <w:numFmt w:val="bullet"/>
      <w:lvlText w:val="·"/>
      <w:lvlJc w:val="left"/>
      <w:pPr>
        <w:ind w:left="29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14E817A">
      <w:start w:val="1"/>
      <w:numFmt w:val="bullet"/>
      <w:lvlText w:val="o"/>
      <w:lvlJc w:val="left"/>
      <w:pPr>
        <w:ind w:left="36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9EE7158">
      <w:start w:val="1"/>
      <w:numFmt w:val="bullet"/>
      <w:lvlText w:val="▪"/>
      <w:lvlJc w:val="left"/>
      <w:pPr>
        <w:ind w:left="43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0A4D98">
      <w:start w:val="1"/>
      <w:numFmt w:val="bullet"/>
      <w:lvlText w:val="·"/>
      <w:lvlJc w:val="left"/>
      <w:pPr>
        <w:ind w:left="51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CB69712">
      <w:start w:val="1"/>
      <w:numFmt w:val="bullet"/>
      <w:lvlText w:val="o"/>
      <w:lvlJc w:val="left"/>
      <w:pPr>
        <w:ind w:left="58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69A2F22">
      <w:start w:val="1"/>
      <w:numFmt w:val="bullet"/>
      <w:lvlText w:val="▪"/>
      <w:lvlJc w:val="left"/>
      <w:pPr>
        <w:ind w:left="65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F4E02E5"/>
    <w:multiLevelType w:val="hybridMultilevel"/>
    <w:tmpl w:val="D20808CA"/>
    <w:numStyleLink w:val="Estiloimportado3"/>
  </w:abstractNum>
  <w:abstractNum w:abstractNumId="6"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B413D8"/>
    <w:multiLevelType w:val="hybridMultilevel"/>
    <w:tmpl w:val="CC46152C"/>
    <w:numStyleLink w:val="Estiloimportado6"/>
  </w:abstractNum>
  <w:abstractNum w:abstractNumId="9" w15:restartNumberingAfterBreak="0">
    <w:nsid w:val="6B2C3827"/>
    <w:multiLevelType w:val="hybridMultilevel"/>
    <w:tmpl w:val="E4D09C48"/>
    <w:styleLink w:val="Estiloimportado2"/>
    <w:lvl w:ilvl="0" w:tplc="1550E1AA">
      <w:start w:val="1"/>
      <w:numFmt w:val="bullet"/>
      <w:lvlText w:val="·"/>
      <w:lvlJc w:val="left"/>
      <w:pPr>
        <w:ind w:left="7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AC875C4">
      <w:start w:val="1"/>
      <w:numFmt w:val="bullet"/>
      <w:lvlText w:val="o"/>
      <w:lvlJc w:val="left"/>
      <w:pPr>
        <w:ind w:left="15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A08257A">
      <w:start w:val="1"/>
      <w:numFmt w:val="bullet"/>
      <w:lvlText w:val="▪"/>
      <w:lvlJc w:val="left"/>
      <w:pPr>
        <w:ind w:left="22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054BB20">
      <w:start w:val="1"/>
      <w:numFmt w:val="bullet"/>
      <w:lvlText w:val="·"/>
      <w:lvlJc w:val="left"/>
      <w:pPr>
        <w:ind w:left="29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CB28BDC">
      <w:start w:val="1"/>
      <w:numFmt w:val="bullet"/>
      <w:lvlText w:val="o"/>
      <w:lvlJc w:val="left"/>
      <w:pPr>
        <w:ind w:left="36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1E84796">
      <w:start w:val="1"/>
      <w:numFmt w:val="bullet"/>
      <w:lvlText w:val="▪"/>
      <w:lvlJc w:val="left"/>
      <w:pPr>
        <w:ind w:left="43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0CE2C96">
      <w:start w:val="1"/>
      <w:numFmt w:val="bullet"/>
      <w:lvlText w:val="·"/>
      <w:lvlJc w:val="left"/>
      <w:pPr>
        <w:ind w:left="51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022CC12">
      <w:start w:val="1"/>
      <w:numFmt w:val="bullet"/>
      <w:lvlText w:val="o"/>
      <w:lvlJc w:val="left"/>
      <w:pPr>
        <w:ind w:left="58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BE270DE">
      <w:start w:val="1"/>
      <w:numFmt w:val="bullet"/>
      <w:lvlText w:val="▪"/>
      <w:lvlJc w:val="left"/>
      <w:pPr>
        <w:ind w:left="65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136631F"/>
    <w:multiLevelType w:val="hybridMultilevel"/>
    <w:tmpl w:val="D20808CA"/>
    <w:styleLink w:val="Estiloimportado3"/>
    <w:lvl w:ilvl="0" w:tplc="6C9867AE">
      <w:start w:val="1"/>
      <w:numFmt w:val="bullet"/>
      <w:lvlText w:val="·"/>
      <w:lvlJc w:val="left"/>
      <w:pPr>
        <w:ind w:left="7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266DEE8">
      <w:start w:val="1"/>
      <w:numFmt w:val="bullet"/>
      <w:lvlText w:val="o"/>
      <w:lvlJc w:val="left"/>
      <w:pPr>
        <w:ind w:left="15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B7E0498">
      <w:start w:val="1"/>
      <w:numFmt w:val="bullet"/>
      <w:lvlText w:val="▪"/>
      <w:lvlJc w:val="left"/>
      <w:pPr>
        <w:ind w:left="22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77CDCEA">
      <w:start w:val="1"/>
      <w:numFmt w:val="bullet"/>
      <w:lvlText w:val="·"/>
      <w:lvlJc w:val="left"/>
      <w:pPr>
        <w:ind w:left="29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DF22832">
      <w:start w:val="1"/>
      <w:numFmt w:val="bullet"/>
      <w:lvlText w:val="o"/>
      <w:lvlJc w:val="left"/>
      <w:pPr>
        <w:ind w:left="36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25EC85A">
      <w:start w:val="1"/>
      <w:numFmt w:val="bullet"/>
      <w:lvlText w:val="▪"/>
      <w:lvlJc w:val="left"/>
      <w:pPr>
        <w:ind w:left="43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5B807E0">
      <w:start w:val="1"/>
      <w:numFmt w:val="bullet"/>
      <w:lvlText w:val="·"/>
      <w:lvlJc w:val="left"/>
      <w:pPr>
        <w:ind w:left="51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4759A">
      <w:start w:val="1"/>
      <w:numFmt w:val="bullet"/>
      <w:lvlText w:val="o"/>
      <w:lvlJc w:val="left"/>
      <w:pPr>
        <w:ind w:left="58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EFCC646">
      <w:start w:val="1"/>
      <w:numFmt w:val="bullet"/>
      <w:lvlText w:val="▪"/>
      <w:lvlJc w:val="left"/>
      <w:pPr>
        <w:ind w:left="65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1F476A7"/>
    <w:multiLevelType w:val="hybridMultilevel"/>
    <w:tmpl w:val="71321312"/>
    <w:styleLink w:val="Estiloimportado4"/>
    <w:lvl w:ilvl="0" w:tplc="0D688ABE">
      <w:start w:val="1"/>
      <w:numFmt w:val="bullet"/>
      <w:lvlText w:val="·"/>
      <w:lvlJc w:val="left"/>
      <w:pPr>
        <w:ind w:left="7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5A6CFA">
      <w:start w:val="1"/>
      <w:numFmt w:val="bullet"/>
      <w:lvlText w:val="o"/>
      <w:lvlJc w:val="left"/>
      <w:pPr>
        <w:ind w:left="15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BC44AA6">
      <w:start w:val="1"/>
      <w:numFmt w:val="bullet"/>
      <w:lvlText w:val="▪"/>
      <w:lvlJc w:val="left"/>
      <w:pPr>
        <w:ind w:left="22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4BCD6A4">
      <w:start w:val="1"/>
      <w:numFmt w:val="bullet"/>
      <w:lvlText w:val="·"/>
      <w:lvlJc w:val="left"/>
      <w:pPr>
        <w:ind w:left="29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99AAF32">
      <w:start w:val="1"/>
      <w:numFmt w:val="bullet"/>
      <w:lvlText w:val="o"/>
      <w:lvlJc w:val="left"/>
      <w:pPr>
        <w:ind w:left="36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11A13D0">
      <w:start w:val="1"/>
      <w:numFmt w:val="bullet"/>
      <w:lvlText w:val="▪"/>
      <w:lvlJc w:val="left"/>
      <w:pPr>
        <w:ind w:left="43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B841E98">
      <w:start w:val="1"/>
      <w:numFmt w:val="bullet"/>
      <w:lvlText w:val="·"/>
      <w:lvlJc w:val="left"/>
      <w:pPr>
        <w:ind w:left="51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523F1C">
      <w:start w:val="1"/>
      <w:numFmt w:val="bullet"/>
      <w:lvlText w:val="o"/>
      <w:lvlJc w:val="left"/>
      <w:pPr>
        <w:ind w:left="58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3800D34">
      <w:start w:val="1"/>
      <w:numFmt w:val="bullet"/>
      <w:lvlText w:val="▪"/>
      <w:lvlJc w:val="left"/>
      <w:pPr>
        <w:ind w:left="65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7ABB21AE"/>
    <w:multiLevelType w:val="hybridMultilevel"/>
    <w:tmpl w:val="FDE6F86A"/>
    <w:numStyleLink w:val="Estiloimportado5"/>
  </w:abstractNum>
  <w:abstractNum w:abstractNumId="13" w15:restartNumberingAfterBreak="0">
    <w:nsid w:val="7BBF33DA"/>
    <w:multiLevelType w:val="hybridMultilevel"/>
    <w:tmpl w:val="CC46152C"/>
    <w:styleLink w:val="Estiloimportado6"/>
    <w:lvl w:ilvl="0" w:tplc="95C08418">
      <w:start w:val="1"/>
      <w:numFmt w:val="bullet"/>
      <w:lvlText w:val="·"/>
      <w:lvlJc w:val="left"/>
      <w:pPr>
        <w:ind w:left="11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00A5464">
      <w:start w:val="1"/>
      <w:numFmt w:val="bullet"/>
      <w:lvlText w:val="o"/>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7F470F4">
      <w:start w:val="1"/>
      <w:numFmt w:val="bullet"/>
      <w:lvlText w:val="▪"/>
      <w:lvlJc w:val="left"/>
      <w:pPr>
        <w:ind w:left="25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892803A">
      <w:start w:val="1"/>
      <w:numFmt w:val="bullet"/>
      <w:lvlText w:val="·"/>
      <w:lvlJc w:val="left"/>
      <w:pPr>
        <w:ind w:left="33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96A83F2">
      <w:start w:val="1"/>
      <w:numFmt w:val="bullet"/>
      <w:lvlText w:val="o"/>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790A5B6">
      <w:start w:val="1"/>
      <w:numFmt w:val="bullet"/>
      <w:lvlText w:val="▪"/>
      <w:lvlJc w:val="left"/>
      <w:pPr>
        <w:ind w:left="47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7A46256">
      <w:start w:val="1"/>
      <w:numFmt w:val="bullet"/>
      <w:lvlText w:val="·"/>
      <w:lvlJc w:val="left"/>
      <w:pPr>
        <w:ind w:left="5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8BE4ED2">
      <w:start w:val="1"/>
      <w:numFmt w:val="bullet"/>
      <w:lvlText w:val="o"/>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B048852">
      <w:start w:val="1"/>
      <w:numFmt w:val="bullet"/>
      <w:lvlText w:val="▪"/>
      <w:lvlJc w:val="left"/>
      <w:pPr>
        <w:ind w:left="69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7F081BBD"/>
    <w:multiLevelType w:val="hybridMultilevel"/>
    <w:tmpl w:val="E4D09C48"/>
    <w:numStyleLink w:val="Estiloimportado2"/>
  </w:abstractNum>
  <w:num w:numId="1">
    <w:abstractNumId w:val="6"/>
  </w:num>
  <w:num w:numId="2">
    <w:abstractNumId w:val="7"/>
  </w:num>
  <w:num w:numId="3">
    <w:abstractNumId w:val="0"/>
  </w:num>
  <w:num w:numId="4">
    <w:abstractNumId w:val="2"/>
  </w:num>
  <w:num w:numId="5">
    <w:abstractNumId w:val="3"/>
  </w:num>
  <w:num w:numId="6">
    <w:abstractNumId w:val="9"/>
  </w:num>
  <w:num w:numId="7">
    <w:abstractNumId w:val="14"/>
  </w:num>
  <w:num w:numId="8">
    <w:abstractNumId w:val="10"/>
  </w:num>
  <w:num w:numId="9">
    <w:abstractNumId w:val="5"/>
  </w:num>
  <w:num w:numId="10">
    <w:abstractNumId w:val="11"/>
  </w:num>
  <w:num w:numId="11">
    <w:abstractNumId w:val="1"/>
  </w:num>
  <w:num w:numId="12">
    <w:abstractNumId w:val="4"/>
  </w:num>
  <w:num w:numId="13">
    <w:abstractNumId w:val="12"/>
  </w:num>
  <w:num w:numId="14">
    <w:abstractNumId w:val="1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removePersonalInformation/>
  <w:removeDateAndTime/>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499"/>
    <w:rsid w:val="00034450"/>
    <w:rsid w:val="0009666A"/>
    <w:rsid w:val="000A5C77"/>
    <w:rsid w:val="000E5016"/>
    <w:rsid w:val="00130E76"/>
    <w:rsid w:val="001D39FF"/>
    <w:rsid w:val="002B2471"/>
    <w:rsid w:val="00304499"/>
    <w:rsid w:val="0034707D"/>
    <w:rsid w:val="00443B4B"/>
    <w:rsid w:val="004819B1"/>
    <w:rsid w:val="004D1029"/>
    <w:rsid w:val="00595487"/>
    <w:rsid w:val="005F5B1C"/>
    <w:rsid w:val="00627535"/>
    <w:rsid w:val="006D60C5"/>
    <w:rsid w:val="00715942"/>
    <w:rsid w:val="007419A3"/>
    <w:rsid w:val="00753F10"/>
    <w:rsid w:val="008911BE"/>
    <w:rsid w:val="008922BB"/>
    <w:rsid w:val="008C455C"/>
    <w:rsid w:val="009112F4"/>
    <w:rsid w:val="009170C3"/>
    <w:rsid w:val="009250E2"/>
    <w:rsid w:val="00A50552"/>
    <w:rsid w:val="00AC342B"/>
    <w:rsid w:val="00C8412F"/>
    <w:rsid w:val="00CE06AB"/>
    <w:rsid w:val="00CF2DA2"/>
    <w:rsid w:val="00D14325"/>
    <w:rsid w:val="00DE7AE5"/>
    <w:rsid w:val="00E14BBA"/>
    <w:rsid w:val="00E22262"/>
    <w:rsid w:val="00E7195C"/>
    <w:rsid w:val="00F55A01"/>
    <w:rsid w:val="00F66DF5"/>
    <w:rsid w:val="00F800C6"/>
    <w:rsid w:val="00F8791C"/>
    <w:rsid w:val="625C11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numbering" w:customStyle="1" w:styleId="Estiloimportado1">
    <w:name w:val="Estilo importado 1"/>
    <w:rsid w:val="004819B1"/>
    <w:pPr>
      <w:numPr>
        <w:numId w:val="4"/>
      </w:numPr>
    </w:pPr>
  </w:style>
  <w:style w:type="numbering" w:customStyle="1" w:styleId="Estiloimportado2">
    <w:name w:val="Estilo importado 2"/>
    <w:rsid w:val="004819B1"/>
    <w:pPr>
      <w:numPr>
        <w:numId w:val="6"/>
      </w:numPr>
    </w:pPr>
  </w:style>
  <w:style w:type="numbering" w:customStyle="1" w:styleId="Estiloimportado3">
    <w:name w:val="Estilo importado 3"/>
    <w:rsid w:val="004819B1"/>
    <w:pPr>
      <w:numPr>
        <w:numId w:val="8"/>
      </w:numPr>
    </w:pPr>
  </w:style>
  <w:style w:type="numbering" w:customStyle="1" w:styleId="Estiloimportado4">
    <w:name w:val="Estilo importado 4"/>
    <w:rsid w:val="004819B1"/>
    <w:pPr>
      <w:numPr>
        <w:numId w:val="10"/>
      </w:numPr>
    </w:pPr>
  </w:style>
  <w:style w:type="numbering" w:customStyle="1" w:styleId="Estiloimportado5">
    <w:name w:val="Estilo importado 5"/>
    <w:rsid w:val="004819B1"/>
    <w:pPr>
      <w:numPr>
        <w:numId w:val="12"/>
      </w:numPr>
    </w:pPr>
  </w:style>
  <w:style w:type="numbering" w:customStyle="1" w:styleId="Estiloimportado6">
    <w:name w:val="Estilo importado 6"/>
    <w:rsid w:val="004819B1"/>
    <w:pPr>
      <w:numPr>
        <w:numId w:val="14"/>
      </w:numPr>
    </w:pPr>
  </w:style>
  <w:style w:type="paragraph" w:customStyle="1" w:styleId="Cuerpo">
    <w:name w:val="Cuerpo"/>
    <w:rsid w:val="009112F4"/>
    <w:pPr>
      <w:pBdr>
        <w:top w:val="nil"/>
        <w:left w:val="nil"/>
        <w:bottom w:val="nil"/>
        <w:right w:val="nil"/>
        <w:between w:val="nil"/>
        <w:bar w:val="nil"/>
      </w:pBdr>
    </w:pPr>
    <w:rPr>
      <w:rFonts w:ascii="Calibri" w:eastAsia="Calibri" w:hAnsi="Calibri" w:cs="Calibri"/>
      <w:color w:val="000000"/>
      <w:u w:color="000000"/>
      <w:bdr w:val="nil"/>
      <w:lang w:eastAsia="es-MX"/>
      <w14:textOutline w14:w="0" w14:cap="flat" w14:cmpd="sng" w14:algn="ctr">
        <w14:noFill/>
        <w14:prstDash w14:val="solid"/>
        <w14:bevel/>
      </w14:textOutline>
    </w:rPr>
  </w:style>
  <w:style w:type="character" w:customStyle="1" w:styleId="Ninguno">
    <w:name w:val="Ninguno"/>
    <w:rsid w:val="009112F4"/>
    <w:rPr>
      <w:lang w:val="es-ES_tradnl"/>
    </w:rPr>
  </w:style>
  <w:style w:type="character" w:styleId="Refdecomentario">
    <w:name w:val="annotation reference"/>
    <w:basedOn w:val="Fuentedeprrafopredeter"/>
    <w:uiPriority w:val="99"/>
    <w:semiHidden/>
    <w:unhideWhenUsed/>
    <w:rsid w:val="00A50552"/>
    <w:rPr>
      <w:sz w:val="16"/>
      <w:szCs w:val="16"/>
    </w:rPr>
  </w:style>
  <w:style w:type="paragraph" w:styleId="Textocomentario">
    <w:name w:val="annotation text"/>
    <w:basedOn w:val="Normal"/>
    <w:link w:val="TextocomentarioCar"/>
    <w:uiPriority w:val="99"/>
    <w:semiHidden/>
    <w:unhideWhenUsed/>
    <w:rsid w:val="00A50552"/>
    <w:rPr>
      <w:sz w:val="20"/>
      <w:szCs w:val="20"/>
    </w:rPr>
  </w:style>
  <w:style w:type="character" w:customStyle="1" w:styleId="TextocomentarioCar">
    <w:name w:val="Texto comentario Car"/>
    <w:basedOn w:val="Fuentedeprrafopredeter"/>
    <w:link w:val="Textocomentario"/>
    <w:uiPriority w:val="99"/>
    <w:semiHidden/>
    <w:rsid w:val="00A50552"/>
    <w:rPr>
      <w:sz w:val="20"/>
      <w:szCs w:val="20"/>
    </w:rPr>
  </w:style>
  <w:style w:type="paragraph" w:styleId="Asuntodelcomentario">
    <w:name w:val="annotation subject"/>
    <w:basedOn w:val="Textocomentario"/>
    <w:next w:val="Textocomentario"/>
    <w:link w:val="AsuntodelcomentarioCar"/>
    <w:uiPriority w:val="99"/>
    <w:semiHidden/>
    <w:unhideWhenUsed/>
    <w:rsid w:val="00A50552"/>
    <w:rPr>
      <w:b/>
      <w:bCs/>
    </w:rPr>
  </w:style>
  <w:style w:type="character" w:customStyle="1" w:styleId="AsuntodelcomentarioCar">
    <w:name w:val="Asunto del comentario Car"/>
    <w:basedOn w:val="TextocomentarioCar"/>
    <w:link w:val="Asuntodelcomentario"/>
    <w:uiPriority w:val="99"/>
    <w:semiHidden/>
    <w:rsid w:val="00A50552"/>
    <w:rPr>
      <w:b/>
      <w:bCs/>
      <w:sz w:val="20"/>
      <w:szCs w:val="20"/>
    </w:rPr>
  </w:style>
  <w:style w:type="paragraph" w:styleId="Textodeglobo">
    <w:name w:val="Balloon Text"/>
    <w:basedOn w:val="Normal"/>
    <w:link w:val="TextodegloboCar"/>
    <w:uiPriority w:val="99"/>
    <w:semiHidden/>
    <w:unhideWhenUsed/>
    <w:rsid w:val="00A5055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505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www.slaw.ca/2014/07/25/generation-flux-the-t-shaped-professiona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www.fastcompany.com/1802732/generation-flux-meet-pioneers-new-and-chaotic-frontier-business" TargetMode="External"/><Relationship Id="rId2" Type="http://schemas.openxmlformats.org/officeDocument/2006/relationships/customXml" Target="../customXml/item2.xml"/><Relationship Id="rId16" Type="http://schemas.openxmlformats.org/officeDocument/2006/relationships/hyperlink" Target="https://hbr.org/2018/09/why-design-thinking-works" TargetMode="External"/><Relationship Id="rId20" Type="http://schemas.openxmlformats.org/officeDocument/2006/relationships/hyperlink" Target="https://www.designcouncil.org.uk/resources/report/11-lessons-managing-design-global-brand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doi-org.dibpxy.uaa.mx/10.1162/07479360152681056" TargetMode="External"/><Relationship Id="rId10" Type="http://schemas.openxmlformats.org/officeDocument/2006/relationships/comments" Target="comments.xml"/><Relationship Id="rId19" Type="http://schemas.openxmlformats.org/officeDocument/2006/relationships/hyperlink" Target="https://raaf.org/pdfs/Slow_Design_Principles.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vimeo.com/8310724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4AEAD77996C94498220C804EA3732DA" ma:contentTypeVersion="2" ma:contentTypeDescription="Crear nuevo documento." ma:contentTypeScope="" ma:versionID="d291f5d781c7ea8cba98a44c63fc0e5a">
  <xsd:schema xmlns:xsd="http://www.w3.org/2001/XMLSchema" xmlns:xs="http://www.w3.org/2001/XMLSchema" xmlns:p="http://schemas.microsoft.com/office/2006/metadata/properties" xmlns:ns2="e8ca9e84-ac8d-424a-a4c1-a8b5117f3f53" targetNamespace="http://schemas.microsoft.com/office/2006/metadata/properties" ma:root="true" ma:fieldsID="231efb2f6451352a5afb8a38e36085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B3D448-EB81-46FD-9692-1231D25D6F36}">
  <ds:schemaRefs>
    <ds:schemaRef ds:uri="http://schemas.microsoft.com/sharepoint/v3/contenttype/forms"/>
  </ds:schemaRefs>
</ds:datastoreItem>
</file>

<file path=customXml/itemProps2.xml><?xml version="1.0" encoding="utf-8"?>
<ds:datastoreItem xmlns:ds="http://schemas.openxmlformats.org/officeDocument/2006/customXml" ds:itemID="{7846E42E-4AD5-4A8D-9066-C9638674E2D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39B5AE-6E9F-4F2B-A106-AE0561BA4B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6276</Words>
  <Characters>34524</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2021-01-31T18:51:00Z</dcterms:created>
  <dcterms:modified xsi:type="dcterms:W3CDTF">2021-03-18T23:19:00Z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