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4B9A4" w14:textId="4D887E3F" w:rsidR="00570E9B" w:rsidRDefault="003462F6">
      <w:pPr>
        <w:pStyle w:val="Ttulo1"/>
        <w:spacing w:before="0" w:after="0" w:line="360" w:lineRule="auto"/>
        <w:jc w:val="center"/>
        <w:rPr>
          <w:rFonts w:ascii="Times New Roman" w:eastAsia="Times New Roman" w:hAnsi="Times New Roman" w:cs="Times New Roman"/>
        </w:rPr>
      </w:pPr>
      <w:bookmarkStart w:id="0" w:name="_g67qsj6yxyjl" w:colFirst="0" w:colLast="0"/>
      <w:bookmarkEnd w:id="0"/>
      <w:r>
        <w:rPr>
          <w:rFonts w:ascii="Times New Roman" w:eastAsia="Times New Roman" w:hAnsi="Times New Roman" w:cs="Times New Roman"/>
        </w:rPr>
        <w:t xml:space="preserve">La vivienda en pandemia: resiliencia de los habitantes como un proceso autopoiético en un sistema complejo. Documentación de casos en la República </w:t>
      </w:r>
      <w:commentRangeStart w:id="1"/>
      <w:r>
        <w:rPr>
          <w:rFonts w:ascii="Times New Roman" w:eastAsia="Times New Roman" w:hAnsi="Times New Roman" w:cs="Times New Roman"/>
        </w:rPr>
        <w:t>Mexicana</w:t>
      </w:r>
      <w:commentRangeEnd w:id="1"/>
      <w:r w:rsidR="00584C51">
        <w:rPr>
          <w:rStyle w:val="Refdecomentario"/>
        </w:rPr>
        <w:commentReference w:id="1"/>
      </w:r>
      <w:r>
        <w:rPr>
          <w:rFonts w:ascii="Times New Roman" w:eastAsia="Times New Roman" w:hAnsi="Times New Roman" w:cs="Times New Roman"/>
        </w:rPr>
        <w:t>.</w:t>
      </w:r>
    </w:p>
    <w:p w14:paraId="4439BD12" w14:textId="77777777" w:rsidR="003462F6" w:rsidRDefault="003462F6" w:rsidP="00FA5485">
      <w:pPr>
        <w:pStyle w:val="Ttulo2"/>
        <w:rPr>
          <w:sz w:val="26"/>
          <w:szCs w:val="26"/>
        </w:rPr>
      </w:pPr>
      <w:bookmarkStart w:id="2" w:name="_5gafkclgk0l" w:colFirst="0" w:colLast="0"/>
      <w:bookmarkEnd w:id="2"/>
    </w:p>
    <w:p w14:paraId="72D7E260" w14:textId="77777777" w:rsidR="003462F6" w:rsidRDefault="003462F6" w:rsidP="00FA5485">
      <w:pPr>
        <w:pStyle w:val="Ttulo2"/>
        <w:rPr>
          <w:sz w:val="26"/>
          <w:szCs w:val="26"/>
        </w:rPr>
      </w:pPr>
    </w:p>
    <w:p w14:paraId="5389A871" w14:textId="761731A1" w:rsidR="00FA5485" w:rsidRPr="00FA5485" w:rsidRDefault="003462F6" w:rsidP="00FA5485">
      <w:pPr>
        <w:pStyle w:val="Ttulo2"/>
        <w:rPr>
          <w:sz w:val="26"/>
          <w:szCs w:val="26"/>
        </w:rPr>
      </w:pPr>
      <w:r>
        <w:rPr>
          <w:sz w:val="26"/>
          <w:szCs w:val="26"/>
        </w:rPr>
        <w:t>Resumen</w:t>
      </w:r>
    </w:p>
    <w:p w14:paraId="1B29E4D2" w14:textId="0C964FEF" w:rsidR="00FA5485" w:rsidRPr="00FA5485" w:rsidRDefault="00FA5485" w:rsidP="00FA5485">
      <w:pPr>
        <w:spacing w:line="360" w:lineRule="auto"/>
        <w:jc w:val="both"/>
        <w:rPr>
          <w:rFonts w:ascii="Times New Roman" w:eastAsia="Times New Roman" w:hAnsi="Times New Roman" w:cs="Times New Roman"/>
          <w:sz w:val="24"/>
          <w:szCs w:val="24"/>
          <w:highlight w:val="white"/>
        </w:rPr>
      </w:pPr>
      <w:r w:rsidRPr="000B14DB">
        <w:rPr>
          <w:rFonts w:ascii="Times New Roman" w:eastAsia="Times New Roman" w:hAnsi="Times New Roman" w:cs="Times New Roman"/>
          <w:sz w:val="24"/>
          <w:szCs w:val="24"/>
          <w:highlight w:val="yellow"/>
        </w:rPr>
        <w:t xml:space="preserve">Las condiciones de habitabilidad de la vivienda influyeron en la resiliencia de las personas durante la pandemia de COVID-19, afectando directamente la </w:t>
      </w:r>
      <w:commentRangeStart w:id="3"/>
      <w:r w:rsidRPr="000B14DB">
        <w:rPr>
          <w:rFonts w:ascii="Times New Roman" w:eastAsia="Times New Roman" w:hAnsi="Times New Roman" w:cs="Times New Roman"/>
          <w:sz w:val="24"/>
          <w:szCs w:val="24"/>
          <w:highlight w:val="yellow"/>
        </w:rPr>
        <w:t>adaptabilidad</w:t>
      </w:r>
      <w:commentRangeEnd w:id="3"/>
      <w:r w:rsidR="000B14DB">
        <w:rPr>
          <w:rStyle w:val="Refdecomentario"/>
        </w:rPr>
        <w:commentReference w:id="3"/>
      </w:r>
      <w:r w:rsidRPr="000B14DB">
        <w:rPr>
          <w:rFonts w:ascii="Times New Roman" w:eastAsia="Times New Roman" w:hAnsi="Times New Roman" w:cs="Times New Roman"/>
          <w:sz w:val="24"/>
          <w:szCs w:val="24"/>
          <w:highlight w:val="yellow"/>
        </w:rPr>
        <w:t xml:space="preserve"> en un momento de autogeneración de nuevas dinámicas, en el marco de los sistemas complejos. </w:t>
      </w:r>
      <w:commentRangeStart w:id="4"/>
      <w:r w:rsidRPr="00FA5485">
        <w:rPr>
          <w:rFonts w:ascii="Times New Roman" w:eastAsia="Times New Roman" w:hAnsi="Times New Roman" w:cs="Times New Roman"/>
          <w:sz w:val="24"/>
          <w:szCs w:val="24"/>
          <w:highlight w:val="white"/>
        </w:rPr>
        <w:t>Esta</w:t>
      </w:r>
      <w:commentRangeEnd w:id="4"/>
      <w:r w:rsidR="000B14DB">
        <w:rPr>
          <w:rStyle w:val="Refdecomentario"/>
        </w:rPr>
        <w:commentReference w:id="4"/>
      </w:r>
      <w:r w:rsidRPr="00FA5485">
        <w:rPr>
          <w:rFonts w:ascii="Times New Roman" w:eastAsia="Times New Roman" w:hAnsi="Times New Roman" w:cs="Times New Roman"/>
          <w:sz w:val="24"/>
          <w:szCs w:val="24"/>
          <w:highlight w:val="white"/>
        </w:rPr>
        <w:t xml:space="preserve"> investigación, basada en 50 residentes de varios estados de México y en diferentes grupos etarios, explora los desafíos significativos enfrentados en términos de habitar y adaptarse a condiciones adversas. Utilizando una metodología cualitativa y entrevistas</w:t>
      </w:r>
      <w:r>
        <w:rPr>
          <w:rFonts w:ascii="Times New Roman" w:eastAsia="Times New Roman" w:hAnsi="Times New Roman" w:cs="Times New Roman"/>
          <w:sz w:val="24"/>
          <w:szCs w:val="24"/>
          <w:highlight w:val="white"/>
        </w:rPr>
        <w:t xml:space="preserve"> semiestructurada</w:t>
      </w:r>
      <w:r w:rsidRPr="00FA5485">
        <w:rPr>
          <w:rFonts w:ascii="Times New Roman" w:eastAsia="Times New Roman" w:hAnsi="Times New Roman" w:cs="Times New Roman"/>
          <w:sz w:val="24"/>
          <w:szCs w:val="24"/>
          <w:highlight w:val="white"/>
        </w:rPr>
        <w:t xml:space="preserve"> en una muestra no probabilística, se recabaron relatos personales que consideran aspectos como espacio, luz y ventilación, </w:t>
      </w:r>
      <w:r>
        <w:rPr>
          <w:rFonts w:ascii="Times New Roman" w:eastAsia="Times New Roman" w:hAnsi="Times New Roman" w:cs="Times New Roman"/>
          <w:sz w:val="24"/>
          <w:szCs w:val="24"/>
          <w:highlight w:val="white"/>
        </w:rPr>
        <w:t xml:space="preserve">entre otros </w:t>
      </w:r>
      <w:r w:rsidRPr="00FA5485">
        <w:rPr>
          <w:rFonts w:ascii="Times New Roman" w:eastAsia="Times New Roman" w:hAnsi="Times New Roman" w:cs="Times New Roman"/>
          <w:sz w:val="24"/>
          <w:szCs w:val="24"/>
          <w:highlight w:val="white"/>
        </w:rPr>
        <w:t>factores que impactaron en la resiliencia emocional y funcional de los participantes.</w:t>
      </w:r>
    </w:p>
    <w:p w14:paraId="313C0FE0" w14:textId="77777777" w:rsidR="00FA5485" w:rsidRPr="00FA5485" w:rsidRDefault="00FA5485" w:rsidP="00FA5485">
      <w:pPr>
        <w:spacing w:line="360" w:lineRule="auto"/>
        <w:jc w:val="both"/>
        <w:rPr>
          <w:rFonts w:ascii="Times New Roman" w:eastAsia="Times New Roman" w:hAnsi="Times New Roman" w:cs="Times New Roman"/>
          <w:sz w:val="24"/>
          <w:szCs w:val="24"/>
          <w:highlight w:val="white"/>
        </w:rPr>
      </w:pPr>
      <w:r w:rsidRPr="00FA5485">
        <w:rPr>
          <w:rFonts w:ascii="Times New Roman" w:eastAsia="Times New Roman" w:hAnsi="Times New Roman" w:cs="Times New Roman"/>
          <w:sz w:val="24"/>
          <w:szCs w:val="24"/>
          <w:highlight w:val="white"/>
        </w:rPr>
        <w:t>El análisis muestra que viviendas con mejores condiciones de habitabilidad favorecieron la capacidad de adaptación, facilitando nuevas rutinas y necesidades durante el confinamiento. En contraste, aquellas viviendas con limitaciones estructurales y de confort dificultaron la creación de un ambiente saludable, afectando negativamente la resiliencia y el bienestar general. Este estudio sugiere que la vivienda, como sistema físico y social, cumple un papel esencial en la autogeneración de estrategias de adaptación y en la dinámica autopoiética de los sistemas humanos en momentos de crisis, subrayando la importancia de entornos habitacionales adecuados para enfrentar desafíos futuros.</w:t>
      </w:r>
    </w:p>
    <w:p w14:paraId="732C1136" w14:textId="77777777" w:rsidR="00FA5485" w:rsidRPr="00FA5485" w:rsidRDefault="00FA5485">
      <w:pPr>
        <w:spacing w:line="360" w:lineRule="auto"/>
        <w:jc w:val="both"/>
        <w:rPr>
          <w:rFonts w:ascii="Times New Roman" w:eastAsia="Times New Roman" w:hAnsi="Times New Roman" w:cs="Times New Roman"/>
          <w:sz w:val="24"/>
          <w:szCs w:val="24"/>
          <w:highlight w:val="white"/>
        </w:rPr>
      </w:pPr>
    </w:p>
    <w:p w14:paraId="009AA568" w14:textId="77777777" w:rsidR="00570E9B" w:rsidRPr="00AD4751" w:rsidRDefault="00570E9B">
      <w:pPr>
        <w:spacing w:line="360" w:lineRule="auto"/>
        <w:jc w:val="both"/>
        <w:rPr>
          <w:rFonts w:ascii="Times New Roman" w:eastAsia="Times New Roman" w:hAnsi="Times New Roman" w:cs="Times New Roman"/>
          <w:sz w:val="24"/>
          <w:szCs w:val="24"/>
        </w:rPr>
      </w:pPr>
    </w:p>
    <w:p w14:paraId="47C82833" w14:textId="77777777" w:rsidR="00570E9B" w:rsidRDefault="003462F6">
      <w:pPr>
        <w:pStyle w:val="Ttulo2"/>
      </w:pPr>
      <w:bookmarkStart w:id="5" w:name="_2g4mq96ve6na" w:colFirst="0" w:colLast="0"/>
      <w:bookmarkEnd w:id="5"/>
      <w:r>
        <w:rPr>
          <w:sz w:val="26"/>
          <w:szCs w:val="26"/>
        </w:rPr>
        <w:t xml:space="preserve">Contexto y </w:t>
      </w:r>
      <w:commentRangeStart w:id="6"/>
      <w:commentRangeStart w:id="7"/>
      <w:r>
        <w:rPr>
          <w:sz w:val="26"/>
          <w:szCs w:val="26"/>
        </w:rPr>
        <w:t>transformaciones</w:t>
      </w:r>
      <w:commentRangeEnd w:id="6"/>
      <w:r w:rsidR="00746E0F">
        <w:rPr>
          <w:rStyle w:val="Refdecomentario"/>
          <w:rFonts w:ascii="Arial" w:eastAsia="Arial" w:hAnsi="Arial" w:cs="Arial"/>
          <w:b w:val="0"/>
        </w:rPr>
        <w:commentReference w:id="6"/>
      </w:r>
      <w:commentRangeEnd w:id="7"/>
      <w:r w:rsidR="008D0989">
        <w:rPr>
          <w:rStyle w:val="Refdecomentario"/>
          <w:rFonts w:ascii="Arial" w:eastAsia="Arial" w:hAnsi="Arial" w:cs="Arial"/>
          <w:b w:val="0"/>
        </w:rPr>
        <w:commentReference w:id="7"/>
      </w:r>
    </w:p>
    <w:p w14:paraId="64BB06D1"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vida cotidiana cambió en diciembre del 2019 por una nueva variante de coronavirus,  SARS-Cov-2, causada por un agente zoonótico emergente, que provoca la enfermedad de la COVID-19; capaz de ocasionar un síndrome respiratorio agudo grave, y en ciertas personas era fatal (Hernández Rodríguez, 2020). Ya en enero del 2020 la Organización Mundial de la Salud informó el brote de esta enfermedad, y en marzo, la identificó como una pandemia.</w:t>
      </w:r>
    </w:p>
    <w:p w14:paraId="0E26F5ED" w14:textId="77777777" w:rsidR="00570E9B" w:rsidRDefault="00570E9B">
      <w:pPr>
        <w:spacing w:line="360" w:lineRule="auto"/>
        <w:jc w:val="both"/>
        <w:rPr>
          <w:rFonts w:ascii="Times New Roman" w:eastAsia="Times New Roman" w:hAnsi="Times New Roman" w:cs="Times New Roman"/>
          <w:sz w:val="24"/>
          <w:szCs w:val="24"/>
        </w:rPr>
      </w:pPr>
    </w:p>
    <w:p w14:paraId="07B54EAE"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finales de marzo, los informes oficiales señalaron alrededor de 400,000 personas contagiadas en más de 160 países, situación que acrecentó la preocupación mundial (BBC News Mundo, 2020). </w:t>
      </w:r>
      <w:r w:rsidRPr="008D0989">
        <w:rPr>
          <w:rFonts w:ascii="Times New Roman" w:eastAsia="Times New Roman" w:hAnsi="Times New Roman" w:cs="Times New Roman"/>
          <w:sz w:val="24"/>
          <w:szCs w:val="24"/>
          <w:highlight w:val="yellow"/>
        </w:rPr>
        <w:t xml:space="preserve">Aunque en México se implementaron ciertas medidas de confinamiento y distanciamiento social, la respuesta no fue heterogénea, sino a menudo inconsistente en comparación con otros países que adoptaron enfoques más </w:t>
      </w:r>
      <w:commentRangeStart w:id="8"/>
      <w:r w:rsidRPr="008D0989">
        <w:rPr>
          <w:rFonts w:ascii="Times New Roman" w:eastAsia="Times New Roman" w:hAnsi="Times New Roman" w:cs="Times New Roman"/>
          <w:sz w:val="24"/>
          <w:szCs w:val="24"/>
          <w:highlight w:val="yellow"/>
        </w:rPr>
        <w:t>estrictos</w:t>
      </w:r>
      <w:commentRangeEnd w:id="8"/>
      <w:r w:rsidR="008D0989">
        <w:rPr>
          <w:rStyle w:val="Refdecomentario"/>
        </w:rPr>
        <w:commentReference w:id="8"/>
      </w:r>
      <w:r w:rsidRPr="008D0989">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Las disposiciones de resguardo variaron entre los estados de la República Mexicana y, en algunos casos, las restricciones se relajaron después de pocos meses, lo que generó posteriormente críticas respecto a la falta de una estrategia nacional uniforme y alineada con las recomendaciones internacionales.</w:t>
      </w:r>
    </w:p>
    <w:p w14:paraId="51982AEC" w14:textId="77777777" w:rsidR="00570E9B" w:rsidRDefault="00570E9B">
      <w:pPr>
        <w:spacing w:line="360" w:lineRule="auto"/>
        <w:jc w:val="both"/>
        <w:rPr>
          <w:rFonts w:ascii="Times New Roman" w:eastAsia="Times New Roman" w:hAnsi="Times New Roman" w:cs="Times New Roman"/>
          <w:sz w:val="24"/>
          <w:szCs w:val="24"/>
        </w:rPr>
      </w:pPr>
    </w:p>
    <w:p w14:paraId="55B38509" w14:textId="77777777" w:rsidR="00570E9B" w:rsidRDefault="003462F6">
      <w:pPr>
        <w:spacing w:line="360" w:lineRule="auto"/>
        <w:jc w:val="both"/>
        <w:rPr>
          <w:rFonts w:ascii="Times New Roman" w:eastAsia="Times New Roman" w:hAnsi="Times New Roman" w:cs="Times New Roman"/>
          <w:sz w:val="24"/>
          <w:szCs w:val="24"/>
        </w:rPr>
      </w:pPr>
      <w:r w:rsidRPr="008D0989">
        <w:rPr>
          <w:rFonts w:ascii="Times New Roman" w:eastAsia="Times New Roman" w:hAnsi="Times New Roman" w:cs="Times New Roman"/>
          <w:sz w:val="24"/>
          <w:szCs w:val="24"/>
          <w:highlight w:val="yellow"/>
        </w:rPr>
        <w:t xml:space="preserve">No </w:t>
      </w:r>
      <w:commentRangeStart w:id="9"/>
      <w:r w:rsidRPr="008D0989">
        <w:rPr>
          <w:rFonts w:ascii="Times New Roman" w:eastAsia="Times New Roman" w:hAnsi="Times New Roman" w:cs="Times New Roman"/>
          <w:sz w:val="24"/>
          <w:szCs w:val="24"/>
          <w:highlight w:val="yellow"/>
        </w:rPr>
        <w:t>obstante</w:t>
      </w:r>
      <w:commentRangeEnd w:id="9"/>
      <w:r w:rsidR="008D0989">
        <w:rPr>
          <w:rStyle w:val="Refdecomentario"/>
        </w:rPr>
        <w:commentReference w:id="9"/>
      </w:r>
      <w:r>
        <w:rPr>
          <w:rFonts w:ascii="Times New Roman" w:eastAsia="Times New Roman" w:hAnsi="Times New Roman" w:cs="Times New Roman"/>
          <w:sz w:val="24"/>
          <w:szCs w:val="24"/>
        </w:rPr>
        <w:t xml:space="preserve">, las medidas como el confinamiento, la suspensión de actividades no esenciales y el distanciamiento social fueron herramientas que </w:t>
      </w:r>
      <w:commentRangeStart w:id="10"/>
      <w:r w:rsidRPr="008D0989">
        <w:rPr>
          <w:rFonts w:ascii="Times New Roman" w:eastAsia="Times New Roman" w:hAnsi="Times New Roman" w:cs="Times New Roman"/>
          <w:sz w:val="24"/>
          <w:szCs w:val="24"/>
          <w:highlight w:val="yellow"/>
        </w:rPr>
        <w:t>sí</w:t>
      </w:r>
      <w:commentRangeEnd w:id="10"/>
      <w:r w:rsidR="008D0989">
        <w:rPr>
          <w:rStyle w:val="Refdecomentario"/>
        </w:rPr>
        <w:commentReference w:id="10"/>
      </w:r>
      <w:r>
        <w:rPr>
          <w:rFonts w:ascii="Times New Roman" w:eastAsia="Times New Roman" w:hAnsi="Times New Roman" w:cs="Times New Roman"/>
          <w:sz w:val="24"/>
          <w:szCs w:val="24"/>
        </w:rPr>
        <w:t xml:space="preserve"> se utilizaron alrededor del país, trayendo consigo de una manera cambios en los estilos de vida y repercusiones en la economía de los mexicanos. </w:t>
      </w:r>
      <w:r w:rsidRPr="008D0989">
        <w:rPr>
          <w:rFonts w:ascii="Times New Roman" w:eastAsia="Times New Roman" w:hAnsi="Times New Roman" w:cs="Times New Roman"/>
          <w:sz w:val="24"/>
          <w:szCs w:val="24"/>
          <w:highlight w:val="yellow"/>
        </w:rPr>
        <w:t xml:space="preserve">Lo que inicialmente parecía una medida temporal, pronto se convirtió en una nueva realidad prolongada, porque las recomendaciones gubernamentales aunque no fueron obligatorias, para muchos significó ser orillados a ajustar su cotidianeidad: trabajo, educación, el cuidado de personas, entretenimiento, entre otros que entraron en la categoría de actividades no </w:t>
      </w:r>
      <w:commentRangeStart w:id="11"/>
      <w:r w:rsidRPr="008D0989">
        <w:rPr>
          <w:rFonts w:ascii="Times New Roman" w:eastAsia="Times New Roman" w:hAnsi="Times New Roman" w:cs="Times New Roman"/>
          <w:sz w:val="24"/>
          <w:szCs w:val="24"/>
          <w:highlight w:val="yellow"/>
        </w:rPr>
        <w:t>esenciales</w:t>
      </w:r>
      <w:commentRangeEnd w:id="11"/>
      <w:r w:rsidR="008D0989">
        <w:rPr>
          <w:rStyle w:val="Refdecomentario"/>
        </w:rPr>
        <w:commentReference w:id="11"/>
      </w:r>
      <w:r w:rsidRPr="008D0989">
        <w:rPr>
          <w:rFonts w:ascii="Times New Roman" w:eastAsia="Times New Roman" w:hAnsi="Times New Roman" w:cs="Times New Roman"/>
          <w:sz w:val="24"/>
          <w:szCs w:val="24"/>
          <w:highlight w:val="yellow"/>
        </w:rPr>
        <w:t>.</w:t>
      </w:r>
    </w:p>
    <w:p w14:paraId="63039A4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propósito del confinamiento era frenar el impacto del virus sobre el sistema de salud y evitar un colapso en la atención médica, mientras que se buscaba ganar tiempo para la implementación de medidas adicionales, como la vacunación masiva que llegaría muchos meses después. Sin embargo, no sé plantearon las afectaciones de la reclusión en casa; estar contenido el mayor tiempo posible bajo ciertas normas restrictivas, era una nueva experiencia que significaba un reencontrarse con un espacio recrudecido y expuso las condiciones de vida de las personas (Cortés Álvarez, </w:t>
      </w:r>
      <w:commentRangeStart w:id="12"/>
      <w:r>
        <w:rPr>
          <w:rFonts w:ascii="Times New Roman" w:eastAsia="Times New Roman" w:hAnsi="Times New Roman" w:cs="Times New Roman"/>
          <w:sz w:val="24"/>
          <w:szCs w:val="24"/>
        </w:rPr>
        <w:t>2021</w:t>
      </w:r>
      <w:commentRangeEnd w:id="12"/>
      <w:r w:rsidR="008D0989">
        <w:rPr>
          <w:rStyle w:val="Refdecomentario"/>
        </w:rPr>
        <w:commentReference w:id="12"/>
      </w:r>
      <w:r>
        <w:rPr>
          <w:rFonts w:ascii="Times New Roman" w:eastAsia="Times New Roman" w:hAnsi="Times New Roman" w:cs="Times New Roman"/>
          <w:sz w:val="24"/>
          <w:szCs w:val="24"/>
        </w:rPr>
        <w:t>). Era inevitable regresar a ese espacio que, en muchos casos, solo se utilizaba para dormir o asearse; ahora, entre esas mismas paredes, todas las actividades debían llevarse a cabo, enfrentando las limitaciones en espacio, luz, confort, salubridad y convivencia, además del impacto emocional, identitario y de salud que generaban esas condiciones.</w:t>
      </w:r>
    </w:p>
    <w:p w14:paraId="1C42D191" w14:textId="77777777" w:rsidR="00570E9B" w:rsidRDefault="00570E9B">
      <w:pPr>
        <w:spacing w:line="360" w:lineRule="auto"/>
        <w:jc w:val="both"/>
        <w:rPr>
          <w:rFonts w:ascii="Times New Roman" w:eastAsia="Times New Roman" w:hAnsi="Times New Roman" w:cs="Times New Roman"/>
          <w:sz w:val="24"/>
          <w:szCs w:val="24"/>
        </w:rPr>
      </w:pPr>
    </w:p>
    <w:p w14:paraId="4A6E627F"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 entonces que la rutina diaria de adultos mayores, adultos, jóvenes, adolescentes y niños, dio un cambio drástico, para verterse por completo a la vivienda. Nicolini (2020) explica que esas modificaciones en la vida de las personas alrededor del mundo se reflejaban en la </w:t>
      </w:r>
      <w:r>
        <w:rPr>
          <w:rFonts w:ascii="Times New Roman" w:eastAsia="Times New Roman" w:hAnsi="Times New Roman" w:cs="Times New Roman"/>
          <w:sz w:val="24"/>
          <w:szCs w:val="24"/>
        </w:rPr>
        <w:lastRenderedPageBreak/>
        <w:t>conducta, la percepción y el entorno, mismo caso en los mexicanos, que pronto se hicieron notorios los efectos colaterales en la sociedad, tanto a nivel económico, acceso a servicios básicos, educación y salud.</w:t>
      </w:r>
    </w:p>
    <w:p w14:paraId="07C56C2B" w14:textId="77777777" w:rsidR="00570E9B" w:rsidRDefault="00570E9B">
      <w:pPr>
        <w:spacing w:line="360" w:lineRule="auto"/>
        <w:jc w:val="both"/>
        <w:rPr>
          <w:rFonts w:ascii="Times New Roman" w:eastAsia="Times New Roman" w:hAnsi="Times New Roman" w:cs="Times New Roman"/>
          <w:sz w:val="24"/>
          <w:szCs w:val="24"/>
        </w:rPr>
      </w:pPr>
    </w:p>
    <w:p w14:paraId="3BD372C8"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vivienda en lugar de sentirse igual a un refugio y proteger a las personas de la pandemia, conforme pasaron los días una serie de efectos comenzaron a hacerse visibles, que la hacía todo, menos un hogar confortable, es decir, las condiciones no se ajustaron adecuadamente para enfrentar el confinamiento (Hernández Pérez, </w:t>
      </w:r>
      <w:commentRangeStart w:id="13"/>
      <w:r>
        <w:rPr>
          <w:rFonts w:ascii="Times New Roman" w:eastAsia="Times New Roman" w:hAnsi="Times New Roman" w:cs="Times New Roman"/>
          <w:sz w:val="24"/>
          <w:szCs w:val="24"/>
        </w:rPr>
        <w:t>2022</w:t>
      </w:r>
      <w:commentRangeEnd w:id="13"/>
      <w:r w:rsidR="00CA127E">
        <w:rPr>
          <w:rStyle w:val="Refdecomentario"/>
        </w:rPr>
        <w:commentReference w:id="13"/>
      </w:r>
      <w:r>
        <w:rPr>
          <w:rFonts w:ascii="Times New Roman" w:eastAsia="Times New Roman" w:hAnsi="Times New Roman" w:cs="Times New Roman"/>
          <w:sz w:val="24"/>
          <w:szCs w:val="24"/>
        </w:rPr>
        <w:t>). Esto revela una ruptura en la dinámica del sistema vivienda-habitante, donde la adaptabilidad y la capacidad de reorganización fueron insuficientes para mantener el bienestar de las personas, que a pesar de la adversidad debían contar con un entorno que coadyuvara en brindar la capacidad de resiliencia.</w:t>
      </w:r>
    </w:p>
    <w:p w14:paraId="39E72F3C" w14:textId="77777777" w:rsidR="00570E9B" w:rsidRDefault="00570E9B">
      <w:pPr>
        <w:spacing w:line="360" w:lineRule="auto"/>
        <w:jc w:val="both"/>
        <w:rPr>
          <w:rFonts w:ascii="Times New Roman" w:eastAsia="Times New Roman" w:hAnsi="Times New Roman" w:cs="Times New Roman"/>
          <w:sz w:val="24"/>
          <w:szCs w:val="24"/>
        </w:rPr>
      </w:pPr>
    </w:p>
    <w:p w14:paraId="750BDCB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aquí donde se unen los cuatro conceptos fundamentales de este capítulo, y que están estrechamente relacionados en el contexto de la pandemia y el confinamiento. </w:t>
      </w:r>
      <w:r w:rsidRPr="00CA127E">
        <w:rPr>
          <w:rFonts w:ascii="Times New Roman" w:eastAsia="Times New Roman" w:hAnsi="Times New Roman" w:cs="Times New Roman"/>
          <w:sz w:val="24"/>
          <w:szCs w:val="24"/>
          <w:highlight w:val="yellow"/>
        </w:rPr>
        <w:t xml:space="preserve">Estos son: la vivienda como un espacio clave, la resiliencia de los habitantes para adaptarse a las nuevas condiciones, la autopoiesis como un proceso de autogeneración y reorganización de las dinámicas internas del hogar, y finalmente, el entendimiento de todo esto dentro de un sistema </w:t>
      </w:r>
      <w:commentRangeStart w:id="14"/>
      <w:r w:rsidRPr="00CA127E">
        <w:rPr>
          <w:rFonts w:ascii="Times New Roman" w:eastAsia="Times New Roman" w:hAnsi="Times New Roman" w:cs="Times New Roman"/>
          <w:sz w:val="24"/>
          <w:szCs w:val="24"/>
          <w:highlight w:val="yellow"/>
        </w:rPr>
        <w:t>complejo</w:t>
      </w:r>
      <w:commentRangeEnd w:id="14"/>
      <w:r w:rsidR="00CA127E">
        <w:rPr>
          <w:rStyle w:val="Refdecomentario"/>
        </w:rPr>
        <w:commentReference w:id="14"/>
      </w:r>
      <w:r w:rsidRPr="00CA127E">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este contexto, la habitabilidad se vuelve un factor central, ya que las condiciones espaciales tangibles y no tangibles de la vivienda incidieron directamente en la capacidad de los habitantes para enfrentar la retadora experiencia del confinamiento, impactando en su bienestar, conformado por su rutina, alimentación, salud física, mental, psicosocial.</w:t>
      </w:r>
    </w:p>
    <w:p w14:paraId="631E98F1" w14:textId="77777777" w:rsidR="00570E9B" w:rsidRDefault="00570E9B">
      <w:pPr>
        <w:spacing w:line="360" w:lineRule="auto"/>
        <w:jc w:val="both"/>
        <w:rPr>
          <w:rFonts w:ascii="Times New Roman" w:eastAsia="Times New Roman" w:hAnsi="Times New Roman" w:cs="Times New Roman"/>
          <w:sz w:val="24"/>
          <w:szCs w:val="24"/>
        </w:rPr>
      </w:pPr>
    </w:p>
    <w:p w14:paraId="27DE2E31" w14:textId="01C65BB3" w:rsidR="00570E9B" w:rsidRPr="00CA127E" w:rsidRDefault="00FA5485">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Con el objetivo de analizar las condiciones de habitabilidad que repercutieron en la resiliencia de los habitantes de diferentes partes de la República Mexicana durante la pandemia en sus viviendas, es necesario explicar desde un proceso de sistemas complejos, específicamente autopoiético, ya que permite entender cómo las viviendas no solo son espacios físicos, sino sistemas vivos que interactúan y se transforman en respuesta a las necesidades emergentes, que en este caso fue provocada por la contingencia sanitaria de la COVID-19 y el llamado a estar </w:t>
      </w:r>
      <w:r w:rsidRPr="00CA127E">
        <w:rPr>
          <w:rFonts w:ascii="Times New Roman" w:eastAsia="Times New Roman" w:hAnsi="Times New Roman" w:cs="Times New Roman"/>
          <w:sz w:val="24"/>
          <w:szCs w:val="24"/>
          <w:highlight w:val="yellow"/>
        </w:rPr>
        <w:t>confinado en casa.</w:t>
      </w:r>
    </w:p>
    <w:p w14:paraId="119EE313" w14:textId="77777777" w:rsidR="00570E9B" w:rsidRPr="00CA127E" w:rsidRDefault="00570E9B">
      <w:pPr>
        <w:spacing w:line="360" w:lineRule="auto"/>
        <w:jc w:val="both"/>
        <w:rPr>
          <w:rFonts w:ascii="Times New Roman" w:eastAsia="Times New Roman" w:hAnsi="Times New Roman" w:cs="Times New Roman"/>
          <w:sz w:val="24"/>
          <w:szCs w:val="24"/>
          <w:highlight w:val="yellow"/>
        </w:rPr>
      </w:pPr>
    </w:p>
    <w:p w14:paraId="1779F824" w14:textId="33D8ADB6" w:rsidR="00570E9B" w:rsidRDefault="003462F6">
      <w:pPr>
        <w:spacing w:line="360" w:lineRule="auto"/>
        <w:jc w:val="both"/>
        <w:rPr>
          <w:rFonts w:ascii="Times New Roman" w:eastAsia="Times New Roman" w:hAnsi="Times New Roman" w:cs="Times New Roman"/>
          <w:sz w:val="24"/>
          <w:szCs w:val="24"/>
        </w:rPr>
      </w:pPr>
      <w:r w:rsidRPr="00CA127E">
        <w:rPr>
          <w:rFonts w:ascii="Times New Roman" w:eastAsia="Times New Roman" w:hAnsi="Times New Roman" w:cs="Times New Roman"/>
          <w:sz w:val="24"/>
          <w:szCs w:val="24"/>
          <w:highlight w:val="yellow"/>
        </w:rPr>
        <w:t xml:space="preserve">Para ello, </w:t>
      </w:r>
      <w:commentRangeStart w:id="15"/>
      <w:r w:rsidRPr="00CA127E">
        <w:rPr>
          <w:rFonts w:ascii="Times New Roman" w:eastAsia="Times New Roman" w:hAnsi="Times New Roman" w:cs="Times New Roman"/>
          <w:sz w:val="24"/>
          <w:szCs w:val="24"/>
          <w:highlight w:val="yellow"/>
        </w:rPr>
        <w:t>una</w:t>
      </w:r>
      <w:commentRangeEnd w:id="15"/>
      <w:r w:rsidR="00CA127E">
        <w:rPr>
          <w:rStyle w:val="Refdecomentario"/>
        </w:rPr>
        <w:commentReference w:id="15"/>
      </w:r>
      <w:r>
        <w:rPr>
          <w:rFonts w:ascii="Times New Roman" w:eastAsia="Times New Roman" w:hAnsi="Times New Roman" w:cs="Times New Roman"/>
          <w:sz w:val="24"/>
          <w:szCs w:val="24"/>
        </w:rPr>
        <w:t xml:space="preserve"> de las herramientas de recolección de información cualitativa empleada fue la entrevista semiestructurada, compuesta por diez preguntas </w:t>
      </w:r>
      <w:r w:rsidR="00FA5485">
        <w:rPr>
          <w:rFonts w:ascii="Times New Roman" w:eastAsia="Times New Roman" w:hAnsi="Times New Roman" w:cs="Times New Roman"/>
          <w:sz w:val="24"/>
          <w:szCs w:val="24"/>
        </w:rPr>
        <w:t xml:space="preserve">indagan sobre </w:t>
      </w:r>
      <w:r>
        <w:rPr>
          <w:rFonts w:ascii="Times New Roman" w:eastAsia="Times New Roman" w:hAnsi="Times New Roman" w:cs="Times New Roman"/>
          <w:sz w:val="24"/>
          <w:szCs w:val="24"/>
        </w:rPr>
        <w:t xml:space="preserve">la experiencia del confinamiento durante las primeras semanas de la pandemia, abarcando un promedio de 21 a </w:t>
      </w:r>
      <w:r>
        <w:rPr>
          <w:rFonts w:ascii="Times New Roman" w:eastAsia="Times New Roman" w:hAnsi="Times New Roman" w:cs="Times New Roman"/>
          <w:sz w:val="24"/>
          <w:szCs w:val="24"/>
        </w:rPr>
        <w:lastRenderedPageBreak/>
        <w:t xml:space="preserve">24 horas de contención en casa. Esta herramienta se aplicó a una población clasificada en diferentes grupos etarios: niños (5-14 años), adolescentes (15-17 años), jóvenes (18-29 años), adultos (30-59 años) y adultos mayores (mayores de 60 años), de acuerdo con los criterios establecidos por el enfoque del estudio (CNDH México, 2019). Las entrevistas se llevaron a cabo de forma voluntaria a través de la red social Facebook, mediante videollamadas y con el consentimiento </w:t>
      </w:r>
      <w:r w:rsidR="00FA5485">
        <w:rPr>
          <w:rFonts w:ascii="Times New Roman" w:eastAsia="Times New Roman" w:hAnsi="Times New Roman" w:cs="Times New Roman"/>
          <w:sz w:val="24"/>
          <w:szCs w:val="24"/>
        </w:rPr>
        <w:t>previo.</w:t>
      </w:r>
      <w:r>
        <w:rPr>
          <w:rFonts w:ascii="Times New Roman" w:eastAsia="Times New Roman" w:hAnsi="Times New Roman" w:cs="Times New Roman"/>
          <w:sz w:val="24"/>
          <w:szCs w:val="24"/>
        </w:rPr>
        <w:t xml:space="preserve"> </w:t>
      </w:r>
    </w:p>
    <w:p w14:paraId="3D31454F" w14:textId="77777777" w:rsidR="00570E9B" w:rsidRDefault="00570E9B">
      <w:pPr>
        <w:spacing w:line="360" w:lineRule="auto"/>
        <w:jc w:val="both"/>
        <w:rPr>
          <w:rFonts w:ascii="Times New Roman" w:eastAsia="Times New Roman" w:hAnsi="Times New Roman" w:cs="Times New Roman"/>
          <w:sz w:val="24"/>
          <w:szCs w:val="24"/>
        </w:rPr>
      </w:pPr>
    </w:p>
    <w:p w14:paraId="263CC57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muestra es no probabilística y se recolectaron 50 respuestas: 9 de niños, 10 de adolescentes, 10 de jóvenes, 11 de adultos y 10 de adultos mayores, provenientes de los estados de Baja California, Ciudad de México, Chiapas, Jalisco, Nuevo León y Puebla. Las respuestas se interpretaron utilizando el método de análisis del discurso, basado en la identificación de patrones y significados emergentes, lo que permitió profundizar en las narrativas individuales y en las experiencias compartidas de los participantes en el contexto de la pandemia y consolidado en cinco ámbitos: percepción del espacio, rutina, hábitos, alimentación, salud, basados en la habitabilidad de la vivienda, de las cuales se comparten los hallazgos.</w:t>
      </w:r>
    </w:p>
    <w:p w14:paraId="046F1615" w14:textId="77777777" w:rsidR="00570E9B" w:rsidRDefault="00570E9B">
      <w:pPr>
        <w:spacing w:line="360" w:lineRule="auto"/>
        <w:jc w:val="both"/>
        <w:rPr>
          <w:rFonts w:ascii="Times New Roman" w:eastAsia="Times New Roman" w:hAnsi="Times New Roman" w:cs="Times New Roman"/>
          <w:sz w:val="24"/>
          <w:szCs w:val="24"/>
        </w:rPr>
      </w:pPr>
    </w:p>
    <w:p w14:paraId="34AEE68A" w14:textId="77777777" w:rsidR="00570E9B" w:rsidRDefault="003462F6">
      <w:pPr>
        <w:spacing w:line="360" w:lineRule="auto"/>
        <w:jc w:val="both"/>
        <w:rPr>
          <w:rFonts w:ascii="Times New Roman" w:eastAsia="Times New Roman" w:hAnsi="Times New Roman" w:cs="Times New Roman"/>
          <w:sz w:val="24"/>
          <w:szCs w:val="24"/>
        </w:rPr>
      </w:pPr>
      <w:r w:rsidRPr="00CA127E">
        <w:rPr>
          <w:rFonts w:ascii="Times New Roman" w:eastAsia="Times New Roman" w:hAnsi="Times New Roman" w:cs="Times New Roman"/>
          <w:sz w:val="24"/>
          <w:szCs w:val="24"/>
          <w:highlight w:val="yellow"/>
        </w:rPr>
        <w:t xml:space="preserve">Es así como se muestra parte del trabajo de tesis doctoral concluida “Análisis de la vivienda y su relación con la salud a partir de las condiciones de habitabilidad, caso de estudios el confinamiento en México durante la pandemia por la COVID-19” desde un matiz de los sistemas complejos, que denota la influencia del entorno en la capacidad de los habitantes de autorregularse, adaptarse y ser resilientes, es decir, su desempeño como sistema autopoiético. Lo anterior desarrollado en tres subtítulos que permiten desglosar de forma amplia esta variables del objeto de </w:t>
      </w:r>
      <w:commentRangeStart w:id="16"/>
      <w:r w:rsidRPr="00CA127E">
        <w:rPr>
          <w:rFonts w:ascii="Times New Roman" w:eastAsia="Times New Roman" w:hAnsi="Times New Roman" w:cs="Times New Roman"/>
          <w:sz w:val="24"/>
          <w:szCs w:val="24"/>
          <w:highlight w:val="yellow"/>
        </w:rPr>
        <w:t>estudio</w:t>
      </w:r>
      <w:commentRangeEnd w:id="16"/>
      <w:r w:rsidR="00CA127E">
        <w:rPr>
          <w:rStyle w:val="Refdecomentario"/>
        </w:rPr>
        <w:commentReference w:id="16"/>
      </w:r>
      <w:r w:rsidRPr="00CA127E">
        <w:rPr>
          <w:rFonts w:ascii="Times New Roman" w:eastAsia="Times New Roman" w:hAnsi="Times New Roman" w:cs="Times New Roman"/>
          <w:sz w:val="24"/>
          <w:szCs w:val="24"/>
          <w:highlight w:val="yellow"/>
        </w:rPr>
        <w:t>.</w:t>
      </w:r>
    </w:p>
    <w:p w14:paraId="34CF1DD7" w14:textId="77777777" w:rsidR="00570E9B" w:rsidRDefault="00570E9B">
      <w:pPr>
        <w:spacing w:line="360" w:lineRule="auto"/>
        <w:jc w:val="both"/>
        <w:rPr>
          <w:rFonts w:ascii="Times New Roman" w:eastAsia="Times New Roman" w:hAnsi="Times New Roman" w:cs="Times New Roman"/>
          <w:sz w:val="24"/>
          <w:szCs w:val="24"/>
        </w:rPr>
      </w:pPr>
    </w:p>
    <w:p w14:paraId="08B8958E" w14:textId="77777777" w:rsidR="00570E9B" w:rsidRDefault="003462F6">
      <w:pPr>
        <w:pStyle w:val="Ttulo2"/>
      </w:pPr>
      <w:bookmarkStart w:id="17" w:name="_xkxh1vuoa5ph" w:colFirst="0" w:colLast="0"/>
      <w:bookmarkEnd w:id="17"/>
      <w:r>
        <w:rPr>
          <w:sz w:val="26"/>
          <w:szCs w:val="26"/>
        </w:rPr>
        <w:t xml:space="preserve">La vivienda como sistema complejo: interacción entre espacio y </w:t>
      </w:r>
      <w:commentRangeStart w:id="18"/>
      <w:r>
        <w:rPr>
          <w:sz w:val="26"/>
          <w:szCs w:val="26"/>
        </w:rPr>
        <w:t>habitante</w:t>
      </w:r>
      <w:commentRangeEnd w:id="18"/>
      <w:r w:rsidR="00CA127E">
        <w:rPr>
          <w:rStyle w:val="Refdecomentario"/>
          <w:rFonts w:ascii="Arial" w:eastAsia="Arial" w:hAnsi="Arial" w:cs="Arial"/>
          <w:b w:val="0"/>
        </w:rPr>
        <w:commentReference w:id="18"/>
      </w:r>
    </w:p>
    <w:p w14:paraId="2C4E10E6" w14:textId="77777777" w:rsidR="00570E9B" w:rsidRDefault="003462F6">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 acuerdo a lo que indica Salazar (2004) en su artículo el paradigma de la complejidad en la investigación social, se basa en la compresión de los sistemas de redes interdependientes, de tal manera que rechaza el reduccionismo y la previsibilidad absoluta del conocimiento. Este enfoque, inspirado en el trabajo de Edgar Morín, sostiene que la realidad es un tejido de interacciones múltiples, donde el todo y las partes se impactan entre sí. La complejidad, vista desde esta perspectiva, demanda un análisis que integre elementos dialógicos, recursivos y hologramáticos, reconociendo la inestabilidad y la interrelación dinámica entre componentes dentro de un sistema social o ecológico.</w:t>
      </w:r>
    </w:p>
    <w:p w14:paraId="49EB16C1" w14:textId="77777777" w:rsidR="00570E9B" w:rsidRDefault="00570E9B">
      <w:pPr>
        <w:spacing w:line="360" w:lineRule="auto"/>
        <w:jc w:val="both"/>
        <w:rPr>
          <w:rFonts w:ascii="Times New Roman" w:eastAsia="Times New Roman" w:hAnsi="Times New Roman" w:cs="Times New Roman"/>
          <w:sz w:val="24"/>
          <w:szCs w:val="24"/>
          <w:highlight w:val="white"/>
        </w:rPr>
      </w:pPr>
    </w:p>
    <w:p w14:paraId="5AD4C3B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Luhmann, en su teoría de sistemas, la complejidad es un concepto que unifica diversos significados y niveles de análisis. Define un sistema como una estructura con características esenciales, cuya ausencia pondría en duda la identidad del sistema. El concepto de sistema permite abstraer y comparar elementos, ya sean similares o diferentes, bajo el criterio de igualdad/desigualdad, sirviendo así para reconocer patrones y relaciones que mantienen la cohesión y el sentido del sistema en su conjunto (mencionado en Cocozza, 2023).</w:t>
      </w:r>
    </w:p>
    <w:p w14:paraId="2F6599B4" w14:textId="77777777" w:rsidR="00570E9B" w:rsidRDefault="00570E9B">
      <w:pPr>
        <w:spacing w:line="360" w:lineRule="auto"/>
        <w:jc w:val="both"/>
        <w:rPr>
          <w:rFonts w:ascii="Times New Roman" w:eastAsia="Times New Roman" w:hAnsi="Times New Roman" w:cs="Times New Roman"/>
          <w:sz w:val="24"/>
          <w:szCs w:val="24"/>
        </w:rPr>
      </w:pPr>
    </w:p>
    <w:p w14:paraId="67C64DC7"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Dentro de este tema existe algo llamado caos determinista que González (2009) lo explica como una teoría sujeta a los sistemas complejos, que cuenta con la presencia de determinadas reglas, pero revela una sensibilidad extrema a las condiciones iniciales, es decir, a los pequeños cambios en el punto de partida y los cuales producen comportamientos caóticos o impredecibles; afectando de manera significativa el comportamiento global del sistema. De una forma puntual, siguen ciertas reglas naturales, no obstante, debido al dinamismo del entorno, los resultados del impacto del fenómeno son difíciles de predecir a largo </w:t>
      </w:r>
      <w:commentRangeStart w:id="19"/>
      <w:r>
        <w:rPr>
          <w:rFonts w:ascii="Times New Roman" w:eastAsia="Times New Roman" w:hAnsi="Times New Roman" w:cs="Times New Roman"/>
          <w:sz w:val="24"/>
          <w:szCs w:val="24"/>
        </w:rPr>
        <w:t>plazo</w:t>
      </w:r>
      <w:commentRangeEnd w:id="19"/>
      <w:r w:rsidR="00CA127E">
        <w:rPr>
          <w:rStyle w:val="Refdecomentario"/>
        </w:rPr>
        <w:commentReference w:id="19"/>
      </w:r>
      <w:r>
        <w:rPr>
          <w:rFonts w:ascii="Times New Roman" w:eastAsia="Times New Roman" w:hAnsi="Times New Roman" w:cs="Times New Roman"/>
          <w:sz w:val="24"/>
          <w:szCs w:val="24"/>
        </w:rPr>
        <w:t>.</w:t>
      </w:r>
    </w:p>
    <w:p w14:paraId="3DA2BEC2" w14:textId="77777777" w:rsidR="00570E9B" w:rsidRDefault="00570E9B">
      <w:pPr>
        <w:spacing w:line="360" w:lineRule="auto"/>
        <w:jc w:val="both"/>
        <w:rPr>
          <w:rFonts w:ascii="Times New Roman" w:eastAsia="Times New Roman" w:hAnsi="Times New Roman" w:cs="Times New Roman"/>
          <w:sz w:val="24"/>
          <w:szCs w:val="24"/>
        </w:rPr>
      </w:pPr>
    </w:p>
    <w:p w14:paraId="277CEEC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Moriello (2005), esto que se llama sistema está compuesto por elementos que interactúan en conjunto con un entorno que lo rodea y del cual depende, además mantienen una relación de intercambio, donde cada uno influye y modifica al otro de forma dinámica e impredecible. Es por esta razón que un sistema real no sigue solo una línea de conducta estática, ya que responde tanto a estímulos menores como a grandes cambios externos (Vázquez Rodríguez, 2022).</w:t>
      </w:r>
    </w:p>
    <w:p w14:paraId="7EE1C52C" w14:textId="77777777" w:rsidR="00570E9B" w:rsidRDefault="00570E9B">
      <w:pPr>
        <w:spacing w:line="360" w:lineRule="auto"/>
        <w:jc w:val="both"/>
        <w:rPr>
          <w:rFonts w:ascii="Times New Roman" w:eastAsia="Times New Roman" w:hAnsi="Times New Roman" w:cs="Times New Roman"/>
          <w:sz w:val="24"/>
          <w:szCs w:val="24"/>
        </w:rPr>
      </w:pPr>
    </w:p>
    <w:p w14:paraId="36562A9C" w14:textId="72D62DB1"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como alude esta frase de Mario Benedetti “cada lugar tiene su tiempo, cada tiempo tiene su marca [...]” enseña la complejidad de la memoria comunitaria, está definida por su devenir</w:t>
      </w:r>
      <w:r w:rsidR="00FA54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nivel biológico, social, político entre otros aspectos que le otorgan características únicas. Son pues los acontecimientos en el tiempo añade Salazar (2004, 24) que generan un efecto de “</w:t>
      </w:r>
      <w:r>
        <w:rPr>
          <w:rFonts w:ascii="Times New Roman" w:eastAsia="Times New Roman" w:hAnsi="Times New Roman" w:cs="Times New Roman"/>
          <w:i/>
          <w:sz w:val="24"/>
          <w:szCs w:val="24"/>
        </w:rPr>
        <w:t>imprinting</w:t>
      </w:r>
      <w:r>
        <w:rPr>
          <w:rFonts w:ascii="Times New Roman" w:eastAsia="Times New Roman" w:hAnsi="Times New Roman" w:cs="Times New Roman"/>
          <w:sz w:val="24"/>
          <w:szCs w:val="24"/>
        </w:rPr>
        <w:t>, la huella indeleble” de un suceso que se entreteje de forma intrincada. El sistema se ve afectado por la complejidad de sus interacciones y por la naturaleza variable de los factores que lo rodean, adaptándose continuamente para mantener su funcionalidad y evitar el deterioro en la medida de lo posible.</w:t>
      </w:r>
    </w:p>
    <w:p w14:paraId="22AD85CE" w14:textId="77777777" w:rsidR="00570E9B" w:rsidRDefault="00570E9B">
      <w:pPr>
        <w:spacing w:line="360" w:lineRule="auto"/>
        <w:jc w:val="both"/>
        <w:rPr>
          <w:rFonts w:ascii="Times New Roman" w:eastAsia="Times New Roman" w:hAnsi="Times New Roman" w:cs="Times New Roman"/>
          <w:sz w:val="24"/>
          <w:szCs w:val="24"/>
        </w:rPr>
      </w:pPr>
    </w:p>
    <w:p w14:paraId="75F2EF3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 de los elementos que conforman este entorno que rodea al sistema humano es la vivienda, dado que está de forma reiterada en interrelación con sus habitantes y responde a sus </w:t>
      </w:r>
      <w:r>
        <w:rPr>
          <w:rFonts w:ascii="Times New Roman" w:eastAsia="Times New Roman" w:hAnsi="Times New Roman" w:cs="Times New Roman"/>
          <w:sz w:val="24"/>
          <w:szCs w:val="24"/>
        </w:rPr>
        <w:lastRenderedPageBreak/>
        <w:t xml:space="preserve">necesidades, demandas y hábitos. Asimismo, interpretado como modelo reactivo (adaptativo), la vivienda se transforma para satisfacer funciones de protección, confort y bienestar psicológico, modificando su estructura, uso y organización según el contexto social, ambiental y cultural en que se ubica. </w:t>
      </w:r>
      <w:r>
        <w:rPr>
          <w:rFonts w:ascii="Times New Roman" w:eastAsia="Times New Roman" w:hAnsi="Times New Roman" w:cs="Times New Roman"/>
          <w:sz w:val="24"/>
          <w:szCs w:val="24"/>
        </w:rPr>
        <w:tab/>
        <w:t>Asimismo, no solo proporciona un lugar físico para estar sino un lugar que sí tiene una parte material y también cuenta con otra ontológica; que a su vez impacta en el ser y la identidad de las personas, ya que se habla de un espacio donde de forma individual o colectiva hay una serie de experiencias, desarrollo de rutinas, interacciones y significaciones de la existencia (Hernández Pérez y Rivera Herrera, 2019).</w:t>
      </w:r>
    </w:p>
    <w:p w14:paraId="03D0512D" w14:textId="77777777" w:rsidR="00570E9B" w:rsidRDefault="00570E9B">
      <w:pPr>
        <w:spacing w:line="360" w:lineRule="auto"/>
        <w:jc w:val="both"/>
        <w:rPr>
          <w:rFonts w:ascii="Times New Roman" w:eastAsia="Times New Roman" w:hAnsi="Times New Roman" w:cs="Times New Roman"/>
          <w:sz w:val="24"/>
          <w:szCs w:val="24"/>
        </w:rPr>
      </w:pPr>
    </w:p>
    <w:p w14:paraId="69C6DB6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Habraken (2000)  ya colocaba a la vivienda como un espacio y componente cuya función es responder y acoplarse a distintos usos marcados por las necesidades de las personas. John Turner (1977) lo aplicó a la autoconstrucción de las viviendas cuando se convierten en sistemas vivos, no porque sean un objeto con vida, sino porque satisface los requerimientos de habitantes, por tanto, son flexibles, modificables y pueden orientarse a una evolución con el tiempo, de manera parecida a los sistemas biológicos.</w:t>
      </w:r>
    </w:p>
    <w:p w14:paraId="0CDADC47" w14:textId="77777777" w:rsidR="00570E9B" w:rsidRDefault="00570E9B">
      <w:pPr>
        <w:spacing w:line="360" w:lineRule="auto"/>
        <w:jc w:val="both"/>
        <w:rPr>
          <w:rFonts w:ascii="Times New Roman" w:eastAsia="Times New Roman" w:hAnsi="Times New Roman" w:cs="Times New Roman"/>
          <w:sz w:val="24"/>
          <w:szCs w:val="24"/>
        </w:rPr>
      </w:pPr>
    </w:p>
    <w:p w14:paraId="4341409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interacción constante entre los habitantes y el espacio doméstico representa un proceso en el que ambos se retroalimentan, tratando de configurar un entorno habitable que responda tanto a cambios internos como externos, manteniendo su función en momentos de tensión o adaptación, como sucede en situaciones de confinamiento. Es este diálogo constante entre el sistema vivo (el habitante) y el entorno (vivienda como entidad física y ontológica) se intensificó debido al estar contenidos en el espacio la mayor parte del tiempo; para pocos una experiencia de reflexión introspectiva que mejoró ámbitos de su cotidianidad, y para otros un detrimento que avanzó día con día, pasando por picos, estados planos y finalmente el empeoramiento a su bienestar.</w:t>
      </w:r>
    </w:p>
    <w:p w14:paraId="39570465" w14:textId="77777777" w:rsidR="00570E9B" w:rsidRDefault="00570E9B">
      <w:pPr>
        <w:spacing w:line="360" w:lineRule="auto"/>
        <w:jc w:val="both"/>
        <w:rPr>
          <w:rFonts w:ascii="Times New Roman" w:eastAsia="Times New Roman" w:hAnsi="Times New Roman" w:cs="Times New Roman"/>
          <w:sz w:val="24"/>
          <w:szCs w:val="24"/>
        </w:rPr>
      </w:pPr>
    </w:p>
    <w:p w14:paraId="5A506AFC" w14:textId="77777777" w:rsidR="00570E9B" w:rsidRPr="0019657B" w:rsidRDefault="003462F6">
      <w:pPr>
        <w:spacing w:line="36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Entonces, ¿qué sucedió para que algunas personas lograran establecer una mayor adaptabilidad a la situación del confinamiento en la vivienda, y así contar con más herramientas para disfrutar de un estado de salud físico, mental y psicosocial durante la pandemia de la COVID-</w:t>
      </w:r>
      <w:commentRangeStart w:id="20"/>
      <w:r>
        <w:rPr>
          <w:rFonts w:ascii="Times New Roman" w:eastAsia="Times New Roman" w:hAnsi="Times New Roman" w:cs="Times New Roman"/>
          <w:sz w:val="24"/>
          <w:szCs w:val="24"/>
        </w:rPr>
        <w:t>19</w:t>
      </w:r>
      <w:commentRangeEnd w:id="20"/>
      <w:r w:rsidR="0019657B">
        <w:rPr>
          <w:rStyle w:val="Refdecomentario"/>
        </w:rPr>
        <w:commentReference w:id="20"/>
      </w:r>
      <w:r>
        <w:rPr>
          <w:rFonts w:ascii="Times New Roman" w:eastAsia="Times New Roman" w:hAnsi="Times New Roman" w:cs="Times New Roman"/>
          <w:sz w:val="24"/>
          <w:szCs w:val="24"/>
        </w:rPr>
        <w:t xml:space="preserve">?  Para ir avanzando en entender los elementos que promueven esta capacidad de resiliencia, </w:t>
      </w:r>
      <w:r w:rsidRPr="0019657B">
        <w:rPr>
          <w:rFonts w:ascii="Times New Roman" w:eastAsia="Times New Roman" w:hAnsi="Times New Roman" w:cs="Times New Roman"/>
          <w:sz w:val="24"/>
          <w:szCs w:val="24"/>
          <w:highlight w:val="yellow"/>
        </w:rPr>
        <w:t>la teoría de autopoiesis de Maturana y Varela (1980) ayuda a caracterizar el rol de las condiciones de la vivienda, como un soporte para aumentar o disminuir la capacidad de hacer frente a los cambios en las condiciones de vida, en las dinámicas de la familia y la interacción social.</w:t>
      </w:r>
    </w:p>
    <w:p w14:paraId="5A252CA6" w14:textId="77777777" w:rsidR="00570E9B" w:rsidRPr="0019657B" w:rsidRDefault="00570E9B">
      <w:pPr>
        <w:spacing w:line="360" w:lineRule="auto"/>
        <w:jc w:val="both"/>
        <w:rPr>
          <w:rFonts w:ascii="Times New Roman" w:eastAsia="Times New Roman" w:hAnsi="Times New Roman" w:cs="Times New Roman"/>
          <w:sz w:val="24"/>
          <w:szCs w:val="24"/>
          <w:highlight w:val="yellow"/>
        </w:rPr>
      </w:pPr>
    </w:p>
    <w:p w14:paraId="5F2EB3BF" w14:textId="2EE6A16E" w:rsidR="00570E9B" w:rsidRPr="0019657B" w:rsidRDefault="003462F6">
      <w:pPr>
        <w:spacing w:line="360" w:lineRule="auto"/>
        <w:jc w:val="both"/>
        <w:rPr>
          <w:rFonts w:ascii="Times New Roman" w:eastAsia="Times New Roman" w:hAnsi="Times New Roman" w:cs="Times New Roman"/>
          <w:sz w:val="24"/>
          <w:szCs w:val="24"/>
          <w:highlight w:val="yellow"/>
        </w:rPr>
      </w:pPr>
      <w:r w:rsidRPr="0019657B">
        <w:rPr>
          <w:rFonts w:ascii="Times New Roman" w:eastAsia="Times New Roman" w:hAnsi="Times New Roman" w:cs="Times New Roman"/>
          <w:sz w:val="24"/>
          <w:szCs w:val="24"/>
          <w:highlight w:val="yellow"/>
        </w:rPr>
        <w:lastRenderedPageBreak/>
        <w:t>Esta teoría aunque ya lleva años atrás desde su propuesta, aún sigue vigente, porque se aplica a sistemas autorregulados en contextos biológicos, sociológicos e incluso en la arquitectura; debido a que ofrece un marco fundamental para describir e interpretar cómo un sistema vivo crea y mantiene su propia estructura pese a las condiciones externas, y lo hace por medio de la adaptación, la regeneración y la preservación con coherencia, sin dejar atrás la funcionalidad. En el contexto de la pandemia esta teoría es útil; permite analizar la experiencia de habitar en una vivienda, bajo la premisa del encierro, como sistemas complejos y entidades vivas, ya que las personas no solo están ocupando un lugar, sino que son influenciados por las condiciones de ese entorno que, no solo proporcionan un espacio físico, además es ontológico al que también deben adaptarse y reorganizarse internamente para responder a nuevas necesidades</w:t>
      </w:r>
      <w:r w:rsidR="00FA5485" w:rsidRPr="0019657B">
        <w:rPr>
          <w:rFonts w:ascii="Times New Roman" w:eastAsia="Times New Roman" w:hAnsi="Times New Roman" w:cs="Times New Roman"/>
          <w:sz w:val="24"/>
          <w:szCs w:val="24"/>
          <w:highlight w:val="yellow"/>
        </w:rPr>
        <w:t>.</w:t>
      </w:r>
    </w:p>
    <w:p w14:paraId="1DB27F41" w14:textId="77777777" w:rsidR="00570E9B" w:rsidRPr="0019657B" w:rsidRDefault="00570E9B">
      <w:pPr>
        <w:spacing w:line="360" w:lineRule="auto"/>
        <w:jc w:val="both"/>
        <w:rPr>
          <w:rFonts w:ascii="Times New Roman" w:eastAsia="Times New Roman" w:hAnsi="Times New Roman" w:cs="Times New Roman"/>
          <w:sz w:val="24"/>
          <w:szCs w:val="24"/>
          <w:highlight w:val="yellow"/>
        </w:rPr>
      </w:pPr>
    </w:p>
    <w:p w14:paraId="63C8A46C" w14:textId="77777777" w:rsidR="00570E9B" w:rsidRPr="0019657B" w:rsidRDefault="003462F6">
      <w:pPr>
        <w:pStyle w:val="Ttulo2"/>
        <w:rPr>
          <w:highlight w:val="yellow"/>
        </w:rPr>
      </w:pPr>
      <w:bookmarkStart w:id="21" w:name="_8erkv1qdl0n6" w:colFirst="0" w:colLast="0"/>
      <w:bookmarkEnd w:id="21"/>
      <w:r w:rsidRPr="0019657B">
        <w:rPr>
          <w:sz w:val="26"/>
          <w:szCs w:val="26"/>
          <w:highlight w:val="yellow"/>
        </w:rPr>
        <w:t>Autopoiesis en la dinámica de adaptación de los habitantes durante la pandemia</w:t>
      </w:r>
    </w:p>
    <w:p w14:paraId="2358ABD6" w14:textId="77777777" w:rsidR="00570E9B" w:rsidRDefault="003462F6">
      <w:pPr>
        <w:spacing w:line="360" w:lineRule="auto"/>
        <w:jc w:val="both"/>
        <w:rPr>
          <w:rFonts w:ascii="Times New Roman" w:eastAsia="Times New Roman" w:hAnsi="Times New Roman" w:cs="Times New Roman"/>
          <w:sz w:val="24"/>
          <w:szCs w:val="24"/>
        </w:rPr>
      </w:pPr>
      <w:r w:rsidRPr="0019657B">
        <w:rPr>
          <w:rFonts w:ascii="Times New Roman" w:eastAsia="Times New Roman" w:hAnsi="Times New Roman" w:cs="Times New Roman"/>
          <w:sz w:val="24"/>
          <w:szCs w:val="24"/>
          <w:highlight w:val="yellow"/>
        </w:rPr>
        <w:t xml:space="preserve">La autopoiesis es un concepto introducido en la biología por Humberto Maturana y Francisco Varela en 1972, describe la capacidad de los sistemas vivos para producir y regenerar sus propios componentes, definiéndose como unidades </w:t>
      </w:r>
      <w:commentRangeStart w:id="22"/>
      <w:r w:rsidRPr="0019657B">
        <w:rPr>
          <w:rFonts w:ascii="Times New Roman" w:eastAsia="Times New Roman" w:hAnsi="Times New Roman" w:cs="Times New Roman"/>
          <w:sz w:val="24"/>
          <w:szCs w:val="24"/>
          <w:highlight w:val="yellow"/>
        </w:rPr>
        <w:t>autónomas</w:t>
      </w:r>
      <w:commentRangeEnd w:id="22"/>
      <w:r w:rsidR="0019657B">
        <w:rPr>
          <w:rStyle w:val="Refdecomentario"/>
        </w:rPr>
        <w:commentReference w:id="22"/>
      </w:r>
      <w:r>
        <w:rPr>
          <w:rFonts w:ascii="Times New Roman" w:eastAsia="Times New Roman" w:hAnsi="Times New Roman" w:cs="Times New Roman"/>
          <w:sz w:val="24"/>
          <w:szCs w:val="24"/>
        </w:rPr>
        <w:t>. Esta autonomía indicada es esencial en los sistemas vivos, permitiéndoles conservar su identidad frente a cambios del entorno, aunque es relativamente difícil de precisar con exactitud (Rodríguez M y Torres N, 2003).</w:t>
      </w:r>
    </w:p>
    <w:p w14:paraId="1BC4FA19" w14:textId="77777777" w:rsidR="00570E9B" w:rsidRDefault="00570E9B">
      <w:pPr>
        <w:spacing w:line="360" w:lineRule="auto"/>
        <w:jc w:val="both"/>
        <w:rPr>
          <w:rFonts w:ascii="Times New Roman" w:eastAsia="Times New Roman" w:hAnsi="Times New Roman" w:cs="Times New Roman"/>
          <w:sz w:val="24"/>
          <w:szCs w:val="24"/>
        </w:rPr>
      </w:pPr>
    </w:p>
    <w:p w14:paraId="6EBB644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teoría de la autopoiesis propone el concepto de “máquinas vivientes” que, mediante la interacción de sus componentes, sostienen y recrean su estructura. Este marco teórico ha trascendido la biología, aplicándose a la educación, psicología, sociología y medicina. En contextos de crisis, como la pandemia de COVID-19, la teoría se adapta para entender la autogestión de sistemas sociales (salud, economía, educación) que se reorganizan y mantienen operativos bajo sus propias reglas, aunque la falta de coordinación intersistémica puede dificultar respuestas eficaces (Sánchez Sotés et al., 2023).</w:t>
      </w:r>
    </w:p>
    <w:p w14:paraId="2601DCEB" w14:textId="77777777" w:rsidR="00570E9B" w:rsidRDefault="00570E9B">
      <w:pPr>
        <w:spacing w:line="360" w:lineRule="auto"/>
        <w:jc w:val="both"/>
        <w:rPr>
          <w:rFonts w:ascii="Times New Roman" w:eastAsia="Times New Roman" w:hAnsi="Times New Roman" w:cs="Times New Roman"/>
          <w:sz w:val="24"/>
          <w:szCs w:val="24"/>
        </w:rPr>
      </w:pPr>
    </w:p>
    <w:p w14:paraId="3084EBF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Similarmente, la epigenética y el concepto de exposoma reflejan procesos de autoorganización y adaptación. Ambos sistemas, aunque diferentes en nivel de análisis, poseen mecanismos que regulan, ajustan y mantienen la identidad en respuesta al entorno (Hernández Pérez y Rivera Herrera, 2019). La epigenética, por ejemplo, adapta la expresión genética en respuesta a factores externos sin alterar el ADN, permitiendo una respuesta adaptable y una transmisión de patrones de adaptación a futuras generaciones (Silvestre, 2021).</w:t>
      </w:r>
    </w:p>
    <w:p w14:paraId="765DB008" w14:textId="77777777" w:rsidR="00570E9B" w:rsidRDefault="00570E9B">
      <w:pPr>
        <w:spacing w:line="360" w:lineRule="auto"/>
        <w:jc w:val="both"/>
        <w:rPr>
          <w:rFonts w:ascii="Times New Roman" w:eastAsia="Times New Roman" w:hAnsi="Times New Roman" w:cs="Times New Roman"/>
          <w:sz w:val="24"/>
          <w:szCs w:val="24"/>
        </w:rPr>
      </w:pPr>
    </w:p>
    <w:p w14:paraId="0337176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enfoque también es pertinente para el ámbito de la vivienda, porque es ahí donde los habitantes reorganizan sus espacios para adecuarse a situaciones de confinamiento. La vivienda, aunque no viva, forma parte de un sistema complejo en cuyas interacciones  habitante-entorno se fomentará la resiliencia en momentos de crisis, permitiendo ajustes en los espacios y comportamientos. Sánchez Sotés, Herr y Fischer (2023) exploran el potencial de la autopoiesis en el diseño urbano y habitacional, destacando su relevancia académica y práctica.</w:t>
      </w:r>
    </w:p>
    <w:p w14:paraId="738A4F17" w14:textId="77777777" w:rsidR="00570E9B" w:rsidRDefault="00570E9B">
      <w:pPr>
        <w:spacing w:line="360" w:lineRule="auto"/>
        <w:jc w:val="both"/>
        <w:rPr>
          <w:rFonts w:ascii="Times New Roman" w:eastAsia="Times New Roman" w:hAnsi="Times New Roman" w:cs="Times New Roman"/>
          <w:sz w:val="24"/>
          <w:szCs w:val="24"/>
        </w:rPr>
      </w:pPr>
    </w:p>
    <w:p w14:paraId="1C0922C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sentido, la comunicación multisistémica entre salud, vivienda y percepción permite a cada sistema adaptarse y responder ante desafíos como la pandemia. La COVID-19 reveló la necesidad de respuestas dinámicas en un mundo globalizado, destacando cómo las interacciones con otros sistemas son esenciales para mantener la estabilidad, sino las consecuencias impactos más perjudiciales.</w:t>
      </w:r>
    </w:p>
    <w:p w14:paraId="25886C7C" w14:textId="77777777" w:rsidR="00570E9B" w:rsidRDefault="00570E9B">
      <w:pPr>
        <w:spacing w:line="360" w:lineRule="auto"/>
        <w:jc w:val="both"/>
        <w:rPr>
          <w:rFonts w:ascii="Times New Roman" w:eastAsia="Times New Roman" w:hAnsi="Times New Roman" w:cs="Times New Roman"/>
          <w:sz w:val="24"/>
          <w:szCs w:val="24"/>
        </w:rPr>
      </w:pPr>
    </w:p>
    <w:p w14:paraId="7DB6A75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aquí, donde la resiliencia emerge como una respuesta a esta adaptabilidad en sistemas complejos, respondiendo tanto en el ámbito físico como psicológico. Según Cyrulnik (2002), la resiliencia puede ser difícil de lograr tras experiencias traumáticas, pero no imposible. Las condiciones precarias, como la falta de apoyo en el entorno afectivo, social, físico y económico, aumentan la vulnerabilidad de las personas y dificultan su estabilidad. Cyrulnik (en Yanke, 2020) subraya que, sin herramientas de afrontamiento, la adversidad puede desencadenar traumas que dificultan el desarrollo de una verdadera resiliencia.</w:t>
      </w:r>
    </w:p>
    <w:p w14:paraId="633F7E37" w14:textId="77777777" w:rsidR="00570E9B" w:rsidRDefault="00570E9B">
      <w:pPr>
        <w:spacing w:line="360" w:lineRule="auto"/>
        <w:jc w:val="both"/>
        <w:rPr>
          <w:rFonts w:ascii="Times New Roman" w:eastAsia="Times New Roman" w:hAnsi="Times New Roman" w:cs="Times New Roman"/>
          <w:sz w:val="24"/>
          <w:szCs w:val="24"/>
        </w:rPr>
      </w:pPr>
    </w:p>
    <w:p w14:paraId="15D9DF5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Amirzadeh, Sobhaninia, Buckman y Sharifi (2023) afirman que la COVID-19 aumentó el interés científico en la resiliencia frente a pandemias, evidenciando las perturbaciones sociales, económicas y ambientales provocadas por el virus SARS-Cov-2. Aunque las políticas de respuesta se centraron en soluciones a corto plazo, como el cierre de ciudades y distanciamiento social, muchos barrios y viviendas carecían de las condiciones necesarias para promover resiliencia, tales como adaptabilidad y flexibilidad en el diseño.</w:t>
      </w:r>
    </w:p>
    <w:p w14:paraId="6259105F" w14:textId="77777777" w:rsidR="00570E9B" w:rsidRDefault="00570E9B">
      <w:pPr>
        <w:spacing w:line="360" w:lineRule="auto"/>
        <w:jc w:val="both"/>
        <w:rPr>
          <w:rFonts w:ascii="Times New Roman" w:eastAsia="Times New Roman" w:hAnsi="Times New Roman" w:cs="Times New Roman"/>
          <w:sz w:val="24"/>
          <w:szCs w:val="24"/>
        </w:rPr>
      </w:pPr>
    </w:p>
    <w:p w14:paraId="0DD60693"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Mientras tanto , en el estudio de Cuerdo Vilches et al. (2020 ), se evalúan las afectaciones del confinamiento en la calidad de la habitabilidad, exponiendo la importancia de espacios adecuados para la nueva cotidianidad y sobrellevar con más fortaleza las vicisitudes. Ahora bien, teniendo toda la base anterior , surgen preguntas clave, las cuales son: ¿ En qué medida </w:t>
      </w:r>
      <w:r>
        <w:rPr>
          <w:rFonts w:ascii="Times New Roman" w:eastAsia="Times New Roman" w:hAnsi="Times New Roman" w:cs="Times New Roman"/>
          <w:sz w:val="24"/>
          <w:szCs w:val="24"/>
        </w:rPr>
        <w:lastRenderedPageBreak/>
        <w:t>puede un sistema vivo mantener su interacción en condiciones adversas , y cómo afectan las condiciones de habitabilidad la resiliencia en momentos de crisis?</w:t>
      </w:r>
    </w:p>
    <w:p w14:paraId="66C6E4C1" w14:textId="77777777" w:rsidR="00570E9B" w:rsidRDefault="00570E9B">
      <w:pPr>
        <w:spacing w:line="360" w:lineRule="auto"/>
        <w:jc w:val="both"/>
        <w:rPr>
          <w:rFonts w:ascii="Times New Roman" w:eastAsia="Times New Roman" w:hAnsi="Times New Roman" w:cs="Times New Roman"/>
          <w:sz w:val="24"/>
          <w:szCs w:val="24"/>
        </w:rPr>
      </w:pPr>
    </w:p>
    <w:p w14:paraId="7742B885"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teoría de la autopoiesis proporciona un marco conceptual para entender cómo los sistemas mantienen su organización y autonomía ante las complejidades del entorno. En el marco de la vivienda, esta capacidad se manifiesta en la facultad presente en los habitantes para adaptar sus espacios, promoviendo así la resiliencia frente a condiciones adversas. Por lo que a continuación , se analizarán las condiciones de habitabilidad y su influencia en la resiliencia de los habitantes como componentes de un sistema autopoiético.</w:t>
      </w:r>
    </w:p>
    <w:p w14:paraId="2A58B7BB" w14:textId="77777777" w:rsidR="00EC6F9F" w:rsidRPr="00EC6F9F" w:rsidRDefault="00EC6F9F">
      <w:pPr>
        <w:spacing w:line="360" w:lineRule="auto"/>
        <w:jc w:val="both"/>
        <w:rPr>
          <w:rFonts w:ascii="Times New Roman" w:eastAsia="Times New Roman" w:hAnsi="Times New Roman" w:cs="Times New Roman"/>
          <w:sz w:val="24"/>
          <w:szCs w:val="24"/>
        </w:rPr>
      </w:pPr>
    </w:p>
    <w:p w14:paraId="48826FD6" w14:textId="047829F6" w:rsidR="00570E9B" w:rsidRPr="00EC6F9F" w:rsidRDefault="003462F6" w:rsidP="00EC6F9F">
      <w:pPr>
        <w:pStyle w:val="Ttulo2"/>
      </w:pPr>
      <w:bookmarkStart w:id="23" w:name="_aabayv364i9u" w:colFirst="0" w:colLast="0"/>
      <w:bookmarkEnd w:id="23"/>
      <w:r>
        <w:rPr>
          <w:sz w:val="26"/>
          <w:szCs w:val="26"/>
        </w:rPr>
        <w:t>Condiciones de habitabilidad y su impacto en la resiliencia de los habitantes</w:t>
      </w:r>
    </w:p>
    <w:p w14:paraId="386CB831" w14:textId="4BAA017E" w:rsidR="00EC6F9F" w:rsidRDefault="00EC6F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María </w:t>
      </w:r>
      <w:commentRangeStart w:id="24"/>
      <w:r>
        <w:rPr>
          <w:rFonts w:ascii="Times New Roman" w:eastAsia="Times New Roman" w:hAnsi="Times New Roman" w:cs="Times New Roman"/>
          <w:sz w:val="24"/>
          <w:szCs w:val="24"/>
        </w:rPr>
        <w:t>Peñalver</w:t>
      </w:r>
      <w:commentRangeEnd w:id="24"/>
      <w:r w:rsidR="0019657B">
        <w:rPr>
          <w:rStyle w:val="Refdecomentario"/>
        </w:rPr>
        <w:commentReference w:id="24"/>
      </w:r>
      <w:r>
        <w:rPr>
          <w:rFonts w:ascii="Times New Roman" w:eastAsia="Times New Roman" w:hAnsi="Times New Roman" w:cs="Times New Roman"/>
          <w:sz w:val="24"/>
          <w:szCs w:val="24"/>
        </w:rPr>
        <w:t xml:space="preserve"> indica que la contingencia se convirtió en un periodo de reflexión, capaz de revelar carencias ya existentes en la casa y evidenciar que los espacios donde se habita son psicológicamente deprimidos, pocos flexibles, además presentan una escasez de metros cuadrados y deficiencias para comunicarse con el exterior, provocando así una desorientación temporal (en Rosell, </w:t>
      </w:r>
      <w:commentRangeStart w:id="25"/>
      <w:r>
        <w:rPr>
          <w:rFonts w:ascii="Times New Roman" w:eastAsia="Times New Roman" w:hAnsi="Times New Roman" w:cs="Times New Roman"/>
          <w:sz w:val="24"/>
          <w:szCs w:val="24"/>
        </w:rPr>
        <w:t>2020</w:t>
      </w:r>
      <w:commentRangeEnd w:id="25"/>
      <w:r w:rsidR="0019657B">
        <w:rPr>
          <w:rStyle w:val="Refdecomentario"/>
        </w:rPr>
        <w:commentReference w:id="25"/>
      </w:r>
      <w:r>
        <w:rPr>
          <w:rFonts w:ascii="Times New Roman" w:eastAsia="Times New Roman" w:hAnsi="Times New Roman" w:cs="Times New Roman"/>
          <w:sz w:val="24"/>
          <w:szCs w:val="24"/>
        </w:rPr>
        <w:t>). Pero no todas las personas experimentaron las mismas circunstancias de confinamiento, a su vez se añadieron factores como la ubicación del predio, el acceso a servicios básicos, la calidad de la vivienda y los materiales de construcción y aislamiento, así como la disponibilidad de espacios al aire libre y la conectividad digital. Además, en cuanto a los factores personales, la situación laboral, el estado económico, las condiciones de salud preexistentes, el apoyo social y familiar de las personas.</w:t>
      </w:r>
    </w:p>
    <w:p w14:paraId="6753AA83" w14:textId="77777777" w:rsidR="00EC6F9F" w:rsidRPr="00EC6F9F" w:rsidRDefault="00EC6F9F">
      <w:pPr>
        <w:spacing w:line="360" w:lineRule="auto"/>
        <w:jc w:val="both"/>
        <w:rPr>
          <w:rFonts w:ascii="Times New Roman" w:eastAsia="Times New Roman" w:hAnsi="Times New Roman" w:cs="Times New Roman"/>
          <w:sz w:val="24"/>
          <w:szCs w:val="24"/>
        </w:rPr>
      </w:pPr>
    </w:p>
    <w:p w14:paraId="6FB138DC" w14:textId="0FC144C6" w:rsidR="00570E9B" w:rsidRPr="00EC6F9F"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Silvestre (2021), expresa que esta experiencia llevó a todos a descubrir su casa, saber más de aspectos que antes de la pandemia no se relacionaban con la contribución al bienestar, el confort y la salud. Con el confinamiento se replanteó la importancia de ciertos criterios de la vivienda: la cantidad de metros cuadrados, la altura, las habitaciones y las amenidades. El presidente CSCAE, Lluis Comerón (en Rosell, 2020) dijo que el valor de la casa se resignificó, especialmente en parámetros apegados a la habitabilidad, es decir, con el diseño, las orientaciones, la calidad, el tamaño, los espacios intermedios, las ventanas que permitan la entrada de luz solar y de ventilación, entre otros aspectos.</w:t>
      </w:r>
    </w:p>
    <w:p w14:paraId="5275C85D" w14:textId="77777777" w:rsidR="00570E9B" w:rsidRDefault="00570E9B">
      <w:pPr>
        <w:spacing w:line="360" w:lineRule="auto"/>
        <w:jc w:val="both"/>
        <w:rPr>
          <w:rFonts w:ascii="Times New Roman" w:eastAsia="Times New Roman" w:hAnsi="Times New Roman" w:cs="Times New Roman"/>
          <w:sz w:val="24"/>
          <w:szCs w:val="24"/>
        </w:rPr>
      </w:pPr>
    </w:p>
    <w:p w14:paraId="137EE544" w14:textId="34EE4191" w:rsidR="00EC6F9F" w:rsidRPr="00FD484B" w:rsidRDefault="00EC6F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personas según sus circunstancias fueron trasladados a una casa con deficiencias físicas, por ejemplo, de mala iluminación artificial y natural, carente ventilación natural, precarización </w:t>
      </w:r>
      <w:r>
        <w:rPr>
          <w:rFonts w:ascii="Times New Roman" w:eastAsia="Times New Roman" w:hAnsi="Times New Roman" w:cs="Times New Roman"/>
          <w:sz w:val="24"/>
          <w:szCs w:val="24"/>
        </w:rPr>
        <w:lastRenderedPageBreak/>
        <w:t xml:space="preserve">espacial, con olores desagradables, además de </w:t>
      </w:r>
      <w:r w:rsidR="00FD484B">
        <w:rPr>
          <w:rFonts w:ascii="Times New Roman" w:eastAsia="Times New Roman" w:hAnsi="Times New Roman" w:cs="Times New Roman"/>
          <w:sz w:val="24"/>
          <w:szCs w:val="24"/>
        </w:rPr>
        <w:t xml:space="preserve">materiales de baja calidad, problemas graves de confort térmico, falta de acceso o intermitencia a servicios básicos (agua, servicio eléctrico, </w:t>
      </w:r>
      <w:r w:rsidR="00A33F02">
        <w:rPr>
          <w:rFonts w:ascii="Times New Roman" w:eastAsia="Times New Roman" w:hAnsi="Times New Roman" w:cs="Times New Roman"/>
          <w:sz w:val="24"/>
          <w:szCs w:val="24"/>
        </w:rPr>
        <w:t>etc.</w:t>
      </w:r>
      <w:r w:rsidR="00FD48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Pero también a escenarios de violencia, conflictos con familiares, </w:t>
      </w:r>
      <w:r w:rsidR="00FD484B">
        <w:rPr>
          <w:rFonts w:ascii="Times New Roman" w:eastAsia="Times New Roman" w:hAnsi="Times New Roman" w:cs="Times New Roman"/>
          <w:sz w:val="24"/>
          <w:szCs w:val="24"/>
        </w:rPr>
        <w:t xml:space="preserve">problemas económicos, adquisición de nuevas responsabilidades o aumento de cargas emocionales y físicas, que fueron día a día impactando en el bienestar de las personas, y esto se veía reflejado claramente en afectaciones en la salud, haciendo del confinamiento una experiencia insoportable, incluso traumática </w:t>
      </w:r>
      <w:r w:rsidR="00616911" w:rsidRPr="00616911">
        <w:rPr>
          <w:rFonts w:ascii="Times New Roman" w:eastAsia="Times New Roman" w:hAnsi="Times New Roman" w:cs="Times New Roman"/>
          <w:sz w:val="24"/>
          <w:szCs w:val="24"/>
        </w:rPr>
        <w:t>(Amerio et al., 2020; Cuerdo Vilches et al., 2020; Hernández Pérez, 2022; Hernández Rodríguez, 2020; Ip, 2022; Jaimes Torres et al., 2021; Nicolini, 2020; Torres Pérez, 2021)</w:t>
      </w:r>
    </w:p>
    <w:p w14:paraId="59F74BDD" w14:textId="77777777" w:rsidR="00570E9B" w:rsidRDefault="00570E9B">
      <w:pPr>
        <w:spacing w:line="360" w:lineRule="auto"/>
        <w:jc w:val="both"/>
        <w:rPr>
          <w:rFonts w:ascii="Times New Roman" w:eastAsia="Times New Roman" w:hAnsi="Times New Roman" w:cs="Times New Roman"/>
          <w:sz w:val="24"/>
          <w:szCs w:val="24"/>
        </w:rPr>
      </w:pPr>
    </w:p>
    <w:p w14:paraId="7F264090" w14:textId="774632F3" w:rsidR="00570E9B" w:rsidRDefault="006169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 de los estudios que se quieren resaltar es el realizado por Hernández Pérez (2022), llevado a cabo durante un periodo de tres años en el confinamiento de México a causa de la pandemia de COVID-19, el cual analiza la relación entre la vivienda y la salud a partir de las condiciones de habitabilidad. </w:t>
      </w:r>
      <w:commentRangeStart w:id="26"/>
      <w:r>
        <w:rPr>
          <w:rFonts w:ascii="Times New Roman" w:eastAsia="Times New Roman" w:hAnsi="Times New Roman" w:cs="Times New Roman"/>
          <w:sz w:val="24"/>
          <w:szCs w:val="24"/>
        </w:rPr>
        <w:t>Para</w:t>
      </w:r>
      <w:commentRangeEnd w:id="26"/>
      <w:r w:rsidR="0019657B">
        <w:rPr>
          <w:rStyle w:val="Refdecomentario"/>
        </w:rPr>
        <w:commentReference w:id="26"/>
      </w:r>
      <w:r>
        <w:rPr>
          <w:rFonts w:ascii="Times New Roman" w:eastAsia="Times New Roman" w:hAnsi="Times New Roman" w:cs="Times New Roman"/>
          <w:sz w:val="24"/>
          <w:szCs w:val="24"/>
        </w:rPr>
        <w:t xml:space="preserve"> la recolección de información cualitativa, se utilizó una entrevista semiestructurada con diez preguntas sobre las experiencias de confinamiento durante las primeras semanas de la pandemia. La muestra, de carácter no probabilístico, incluyó 50 participantes de diferentes grupos etarios niños (5-14 años), adolescentes (15-17 años), jóvenes (18-29 años), adultos (30-59 años) y adultos mayores (mayores de 60 años), de acuerdo con los criterios establecidos por el enfoque del estudio (CNDH México, 2019) realizado por voluntarios a través de videollamadas en Facebook. </w:t>
      </w:r>
    </w:p>
    <w:p w14:paraId="7987C800" w14:textId="77777777" w:rsidR="00570E9B" w:rsidRDefault="00570E9B">
      <w:pPr>
        <w:spacing w:line="360" w:lineRule="auto"/>
        <w:jc w:val="both"/>
        <w:rPr>
          <w:rFonts w:ascii="Times New Roman" w:eastAsia="Times New Roman" w:hAnsi="Times New Roman" w:cs="Times New Roman"/>
          <w:sz w:val="24"/>
          <w:szCs w:val="24"/>
        </w:rPr>
      </w:pPr>
    </w:p>
    <w:p w14:paraId="69109338"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Los participantes procedían de seis estados de México  (Baja California, Ciudad de México, Chiapas, Jalisco, Nuevo León y Puebla), y las respuestas fueron interpretadas mediante análisis de discurso, identificando patrones y significados emergentes en áreas como percepción del espacio, rutina, hábitos, alimentación y salud, todas conectadas a la habitabilidad de la vivienda. Los resultados son ligados una estructura autopoiética y los sistemas complejos, bajo la premisa de evaluativa que busca medir no solo la afectación directa en los seis ámbitos aludidos anteriormente, sino la relación con las afectaciones en la capacidad de los individuos de autorregularse y adaptarse en un entorno desafiante.</w:t>
      </w:r>
    </w:p>
    <w:p w14:paraId="3BECC8D9" w14:textId="77777777" w:rsidR="00570E9B" w:rsidRDefault="00570E9B">
      <w:pPr>
        <w:spacing w:line="360" w:lineRule="auto"/>
        <w:jc w:val="both"/>
        <w:rPr>
          <w:rFonts w:ascii="Times New Roman" w:eastAsia="Times New Roman" w:hAnsi="Times New Roman" w:cs="Times New Roman"/>
          <w:color w:val="1F1F1F"/>
          <w:sz w:val="24"/>
          <w:szCs w:val="24"/>
        </w:rPr>
      </w:pPr>
    </w:p>
    <w:p w14:paraId="0382F542" w14:textId="77777777" w:rsidR="00FA5485" w:rsidRPr="00FA5485" w:rsidRDefault="00FA5485">
      <w:pPr>
        <w:spacing w:line="360" w:lineRule="auto"/>
        <w:jc w:val="both"/>
        <w:rPr>
          <w:rFonts w:ascii="Times New Roman" w:eastAsia="Times New Roman" w:hAnsi="Times New Roman" w:cs="Times New Roman"/>
          <w:color w:val="1F1F1F"/>
          <w:sz w:val="24"/>
          <w:szCs w:val="24"/>
        </w:rPr>
      </w:pPr>
    </w:p>
    <w:p w14:paraId="05E21031"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figura 1 se exponen las respuestas de las entrevistas semiestructuradas por medio de una tabla, organizada de forma horizontal por grupo etario,  y en vertical, están los datos estadísticos: clave, sexo, edad, y los ámbitos donde se notaron cambios: rutina, salud mental, </w:t>
      </w:r>
      <w:r>
        <w:rPr>
          <w:rFonts w:ascii="Times New Roman" w:eastAsia="Times New Roman" w:hAnsi="Times New Roman" w:cs="Times New Roman"/>
          <w:sz w:val="24"/>
          <w:szCs w:val="24"/>
        </w:rPr>
        <w:lastRenderedPageBreak/>
        <w:t>física, psicosocial, sueño y en la líbido a excepción de los menores de edad. Las respuestas se puntuaron en escala del 1 al 5 donde 1 representa “No afectado”, 2. Poco Afectado, 3. Afectado, 4. Frecuentemente afectado y 5. Muy afectado (también la intensidad del color de referencia)</w:t>
      </w:r>
    </w:p>
    <w:p w14:paraId="4C93D5BB" w14:textId="77777777" w:rsidR="00570E9B" w:rsidRDefault="003462F6" w:rsidP="00FA5485">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lang w:val="en-US" w:eastAsia="en-US"/>
        </w:rPr>
        <w:drawing>
          <wp:inline distT="114300" distB="114300" distL="114300" distR="114300" wp14:anchorId="1804ADCA" wp14:editId="111B2BC5">
            <wp:extent cx="5238750" cy="64960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t="6698" b="5992"/>
                    <a:stretch>
                      <a:fillRect/>
                    </a:stretch>
                  </pic:blipFill>
                  <pic:spPr>
                    <a:xfrm>
                      <a:off x="0" y="0"/>
                      <a:ext cx="5238750" cy="6496050"/>
                    </a:xfrm>
                    <a:prstGeom prst="rect">
                      <a:avLst/>
                    </a:prstGeom>
                    <a:ln/>
                  </pic:spPr>
                </pic:pic>
              </a:graphicData>
            </a:graphic>
          </wp:inline>
        </w:drawing>
      </w:r>
    </w:p>
    <w:p w14:paraId="5E7B4E09" w14:textId="77777777" w:rsidR="00570E9B" w:rsidRDefault="003462F6">
      <w:pPr>
        <w:spacing w:before="240" w:after="24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18"/>
          <w:szCs w:val="18"/>
        </w:rPr>
        <w:t>Figura 1. Escala de afectaciones percibidas por las condiciones de habitabilidad de la vivienda, y su relación con la resiliencia ante el confinamiento, desde un enfoque autopoiético y sistemas complejos por grupo etario en México (Fuente: elaboración propia)</w:t>
      </w:r>
    </w:p>
    <w:p w14:paraId="3B6D86B6"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Las puntuaciones bajas indican menores afectaciones en estos aspectos, reflejando una mayor resiliencia y capacidad de adaptación. Por el contrario, las puntuaciones altas, señaladas en </w:t>
      </w:r>
      <w:r>
        <w:rPr>
          <w:rFonts w:ascii="Times New Roman" w:eastAsia="Times New Roman" w:hAnsi="Times New Roman" w:cs="Times New Roman"/>
          <w:color w:val="1F1F1F"/>
          <w:sz w:val="24"/>
          <w:szCs w:val="24"/>
        </w:rPr>
        <w:lastRenderedPageBreak/>
        <w:t>rojo, indican mayores afectaciones, asociándose con una menor resiliencia y la percepción de elementos negativos en su entorno. Estos datos no solo se categorizan según los niveles de impacto, sino que también se interpretan en relación con conceptos como la autopoiesis y la teoría de sistemas complejos, permitiendo analizar la capacidad de los habitantes para reorganizarse y responder de manera adaptativa en un sistema de confinamiento.</w:t>
      </w:r>
    </w:p>
    <w:p w14:paraId="73D5CCFB" w14:textId="77777777" w:rsidR="00570E9B" w:rsidRDefault="00570E9B">
      <w:pPr>
        <w:spacing w:line="360" w:lineRule="auto"/>
        <w:jc w:val="both"/>
        <w:rPr>
          <w:rFonts w:ascii="Times New Roman" w:eastAsia="Times New Roman" w:hAnsi="Times New Roman" w:cs="Times New Roman"/>
          <w:color w:val="1F1F1F"/>
          <w:sz w:val="24"/>
          <w:szCs w:val="24"/>
        </w:rPr>
      </w:pPr>
    </w:p>
    <w:p w14:paraId="6C25A35B"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factores que causaron un impacto de forma negativa en la resiliencia de los habitantes por grupo etario son:</w:t>
      </w:r>
    </w:p>
    <w:p w14:paraId="7AF8C2BB"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niños y niñas, la sensación de encierro y aburrimiento por falta de contacto con el exterior o áreas libres en el interior, espacios limitados que restringen las áreas de juego y la convivencia familiar. Además de los problemas de seguridad emocional debido a la percepción de peligros, disminución de la calidad de sueño por alteraciones en horarios y uso de dispositivos electrónicos, así como cambios en la alimentación asociados a antojos frecuentes y dieta alterada por ansiedad y aburrimiento por el espacio reducido y con pocos estímulos positivos.</w:t>
      </w:r>
    </w:p>
    <w:p w14:paraId="345376B2"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adolescentes, las áreas pequeñas y privacidad generó el estrés adicional, mientras que los cambios en la rutina que llevaron a un uso excesivo dispositivos electrónicos y provocaron una disminución en la motivación para el aseo personal, alteraciones en los horarios de sueño y problemas de insomnio, además del aumento de los conflictos familiares por la proximidad constante y la sensación de encierro que intensificó las emociones negativas como el estrés y la irritabilidad.</w:t>
      </w:r>
    </w:p>
    <w:p w14:paraId="00FD60C3"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jóvenes experimentaron aspectos adversos como espacios limitados y falta de privacidad, que generaron hartazgo y estrés. También sufrieron alteraciones en la alimentación, con un aumento en antojos y consumo de alimentos poco saludables. La calidad de su sueño disminuyó, presentando problemas para conciliar el sueño y despertando en un estado físico y emocional deteriorado. Además, la convivencia en un lugar no adecuado de forma reiterativa incrementó los conflictos por el espacio personal y en las relaciones familiares.</w:t>
      </w:r>
    </w:p>
    <w:p w14:paraId="1375C101"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Los adultos enfrentaron la falta de espacio adecuado para el trabajo remoto y una carga adicional de responsabilidades en limpieza y cuidado (específicamente las mujeres en este último aspecto). También percibieron un aumento en problemas de salud física, incluyendo dolores musculares y trastornos del sueño. A esto se sumaron el estrés y la ansiedad provocados por la incertidumbre económica y, en algunos casos, la pérdida de empleo. El consumo de sustancias como alcohol y tabaco se incrementó como un </w:t>
      </w:r>
      <w:r>
        <w:rPr>
          <w:rFonts w:ascii="Times New Roman" w:eastAsia="Times New Roman" w:hAnsi="Times New Roman" w:cs="Times New Roman"/>
          <w:color w:val="1F1F1F"/>
          <w:sz w:val="24"/>
          <w:szCs w:val="24"/>
        </w:rPr>
        <w:lastRenderedPageBreak/>
        <w:t>recurso de escape frente a estas presiones de la vida y la necesidad de desvincularse de una realidad dolorosa.</w:t>
      </w:r>
    </w:p>
    <w:p w14:paraId="277A04A1"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adultos mayores por su parte padecieron una sensación constante de aislamiento y soledad debido a la falta de contacto directo con familiares y amigos, lo cual incrementó la tristeza y la desesperación. Además, se observó un incremento de dolencias físicas preexistentes, como dolores en las articulaciones y problemas de sueño, exacerbados por la falta de actividad física y la permanencia en espacios cerrados. La sensación de incertidumbre y estrés fue otro factor recurrente, ya que la preocupación constante por el riesgo de contagio y la salud de sus seres queridos generó un estado de alerta en relación con el entorno.</w:t>
      </w:r>
    </w:p>
    <w:p w14:paraId="0F105B7C" w14:textId="77777777" w:rsidR="00570E9B" w:rsidRDefault="00570E9B">
      <w:pPr>
        <w:spacing w:line="360" w:lineRule="auto"/>
        <w:jc w:val="both"/>
        <w:rPr>
          <w:rFonts w:ascii="Times New Roman" w:eastAsia="Times New Roman" w:hAnsi="Times New Roman" w:cs="Times New Roman"/>
          <w:color w:val="1F1F1F"/>
          <w:sz w:val="24"/>
          <w:szCs w:val="24"/>
        </w:rPr>
      </w:pPr>
    </w:p>
    <w:p w14:paraId="01926EB8"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factores que causaron impacto de manera beneficiosa en pro de la resiliencia de los habitantes por grupo etario son:</w:t>
      </w:r>
    </w:p>
    <w:p w14:paraId="69AE2953" w14:textId="77777777" w:rsidR="00570E9B" w:rsidRDefault="00570E9B">
      <w:pPr>
        <w:spacing w:line="360" w:lineRule="auto"/>
        <w:jc w:val="both"/>
        <w:rPr>
          <w:rFonts w:ascii="Times New Roman" w:eastAsia="Times New Roman" w:hAnsi="Times New Roman" w:cs="Times New Roman"/>
          <w:color w:val="1F1F1F"/>
          <w:sz w:val="24"/>
          <w:szCs w:val="24"/>
        </w:rPr>
      </w:pPr>
    </w:p>
    <w:p w14:paraId="5974383F"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niños y niñas que contaron con acceso a áreas comunes y espacios abiertos como patios, así como el contacto con la naturaleza a través de mascotas y plantas, mostraron mejor adaptación, ya que contribuyó a mitigar el impacto de la sensación de aislamiento. Asimismo, el incremento en las actividades realizadas en familia fortaleció los lazos afectivos, generando un ambiente de apoyo y compañía, que también se veía reflejado en su salud física y emocional.</w:t>
      </w:r>
    </w:p>
    <w:p w14:paraId="5A9EA379"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Los adolescentes potenciaron su bienestar en espacios bien iluminados y adaptados dentro de sus viviendas, lo cual facilitó su concentración en actividades educativas, coadyuvando a reducir el impacto negativo de la interrupción de la vida escolar presencial. La relevancia de contar con espacios que incentivaron la convivencia  familiar sana a través de actividades compartidas fue primordial para el afianzamiento de los lazos familiares y proporcionar un entorno de apoyo emocional. </w:t>
      </w:r>
    </w:p>
    <w:p w14:paraId="12F249F4"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el caso de los jóvenes, disponer de áreas privadas dentro de la vivienda promovió momentos de introspección y autoconocimiento, lo que les permitió conectar con ellos mismos en un ambiente de relativa autonomía. Por medio de tres formas, la primera teniendo un lugar para interactuar usando dispositivos electrónicos para conexión social y entretenimiento,  y la segunda, para realizar actividades físicas y no permanecer anclados largas horas en los medios digitales.</w:t>
      </w:r>
    </w:p>
    <w:p w14:paraId="740BC5D1"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En el grupo de los adultos, las viviendas que ofrecían circulación de aire óptima, luz natural y acceso a áreas verdes resultaron fundamentales para el bienestar emocional, </w:t>
      </w:r>
      <w:r>
        <w:rPr>
          <w:rFonts w:ascii="Times New Roman" w:eastAsia="Times New Roman" w:hAnsi="Times New Roman" w:cs="Times New Roman"/>
          <w:color w:val="1F1F1F"/>
          <w:sz w:val="24"/>
          <w:szCs w:val="24"/>
        </w:rPr>
        <w:lastRenderedPageBreak/>
        <w:t xml:space="preserve">ya que estos elementos brindaron una atmósfera más saludable y acogedora. De tal manera, sirvió de apoyo para permanecer más tiempo en el interior sin desesperarse o sentir esa necesidad desesperada por salir de casa. A su vez, la consolidación de relaciones afectivas, especialmente entre madres e hijos pequeños, fue un recurso de soporte emocional que ayudó a afrontar la adversidad.  </w:t>
      </w:r>
    </w:p>
    <w:p w14:paraId="02B0DB44"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En los adultos mayores tener espacios para el reforzamiento de sus valores espirituales generó mejor adaptación emocional, les permitió sobrellevar la frustración y mantener una sensación de esperanza y tranquilidad, independientemente de otras limitaciones </w:t>
      </w:r>
      <w:commentRangeStart w:id="27"/>
      <w:r>
        <w:rPr>
          <w:rFonts w:ascii="Times New Roman" w:eastAsia="Times New Roman" w:hAnsi="Times New Roman" w:cs="Times New Roman"/>
          <w:color w:val="1F1F1F"/>
          <w:sz w:val="24"/>
          <w:szCs w:val="24"/>
        </w:rPr>
        <w:t>espaciales</w:t>
      </w:r>
      <w:commentRangeEnd w:id="27"/>
      <w:r w:rsidR="00F51751">
        <w:rPr>
          <w:rStyle w:val="Refdecomentario"/>
        </w:rPr>
        <w:commentReference w:id="27"/>
      </w:r>
      <w:r>
        <w:rPr>
          <w:rFonts w:ascii="Times New Roman" w:eastAsia="Times New Roman" w:hAnsi="Times New Roman" w:cs="Times New Roman"/>
          <w:color w:val="1F1F1F"/>
          <w:sz w:val="24"/>
          <w:szCs w:val="24"/>
        </w:rPr>
        <w:t>. La introspección y el refuerzo de vínculos afectivos se manifestaron como estrategias de bienestar, aprovechando el tiempo para reflexionar y enriquecer las relaciones con familiares cercanos con quienes convivieron en zonas amplias. Finalmente, un sentido de autonomía y satisfacción se observó en aquellos adultos mayores que lograron reorganizar o intervenir en sus espacios de acuerdo con sus necesidades, lo cual les proporcionó un mayor bienestar y estabilidad físico-emocional en sus rutinas e incluso en los que padecían enfermedades preexistentes.</w:t>
      </w:r>
    </w:p>
    <w:p w14:paraId="55D86863"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resumen, el estudio revela que las condiciones de habitabilidad de la vivienda influyen directamente en la resiliencia de los habitantes durante el confinamiento por COVID-19. Los espacios abiertos con presencia de vegetación y áreas de convivencia fortalecieron el bienestar integral en niños y adolescentes, mientras que los jóvenes y adultos encontraron en la privacidad y en la calidad del entorno físico (como luz y ventilación) un soporte para el autocuidado y la estabilidad emocional. En adultos mayores, el refuerzo de vínculos afectivos y valores espirituales contribuyó a sobrellevar el aislamiento, destacando la relevancia de adaptar los entornos habitacionales para mejorar la resiliencia en tiempos de crisis.</w:t>
      </w:r>
    </w:p>
    <w:p w14:paraId="6A299001" w14:textId="77777777" w:rsidR="00570E9B" w:rsidRDefault="00570E9B">
      <w:pPr>
        <w:spacing w:line="360" w:lineRule="auto"/>
        <w:jc w:val="both"/>
        <w:rPr>
          <w:rFonts w:ascii="Times New Roman" w:eastAsia="Times New Roman" w:hAnsi="Times New Roman" w:cs="Times New Roman"/>
          <w:color w:val="1F1F1F"/>
          <w:sz w:val="24"/>
          <w:szCs w:val="24"/>
        </w:rPr>
      </w:pPr>
    </w:p>
    <w:p w14:paraId="578678BD" w14:textId="77777777" w:rsidR="00570E9B" w:rsidRDefault="003462F6">
      <w:pPr>
        <w:pStyle w:val="Ttulo2"/>
        <w:rPr>
          <w:sz w:val="26"/>
          <w:szCs w:val="26"/>
        </w:rPr>
      </w:pPr>
      <w:bookmarkStart w:id="28" w:name="_d9sdw0tai1wj" w:colFirst="0" w:colLast="0"/>
      <w:bookmarkEnd w:id="28"/>
      <w:r>
        <w:rPr>
          <w:sz w:val="26"/>
          <w:szCs w:val="26"/>
        </w:rPr>
        <w:t>Conclusiones</w:t>
      </w:r>
    </w:p>
    <w:p w14:paraId="5CD2C69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estudio sobre la resiliencia de los habitantes durante la pandemia de COVID-19 subraya la profunda interrelación entre las condiciones de habitabilidad de las viviendas y la capacidad adaptativa de sus ocupantes en un contexto de confinamiento. En el marco de un sistema complejo, en el cual los residentes en sus entornos coexisten y se influyen mutuamente ante un fenómeno, es aquí donde la vivienda se revela como un componente esencial para el bienestar integral. Mientras que la aplicación de la teoría de la autopoiesis permitió comprender cómo las personas reorganizaron sus espacios y rutinas para responder a las exigencias del confinamiento; cuando hay las condiciones suficientes se resaltan estos ambientes habitables </w:t>
      </w:r>
      <w:r>
        <w:rPr>
          <w:rFonts w:ascii="Times New Roman" w:eastAsia="Times New Roman" w:hAnsi="Times New Roman" w:cs="Times New Roman"/>
          <w:sz w:val="24"/>
          <w:szCs w:val="24"/>
        </w:rPr>
        <w:lastRenderedPageBreak/>
        <w:t>para proporcionar no solo un refugió físico, sino un entorno de unificado proveedor de salud física, mental y psicosocial,</w:t>
      </w:r>
    </w:p>
    <w:p w14:paraId="1D19B08E" w14:textId="77777777" w:rsidR="00570E9B" w:rsidRDefault="00570E9B">
      <w:pPr>
        <w:spacing w:line="360" w:lineRule="auto"/>
        <w:jc w:val="both"/>
        <w:rPr>
          <w:rFonts w:ascii="Times New Roman" w:eastAsia="Times New Roman" w:hAnsi="Times New Roman" w:cs="Times New Roman"/>
          <w:sz w:val="24"/>
          <w:szCs w:val="24"/>
        </w:rPr>
      </w:pPr>
    </w:p>
    <w:p w14:paraId="7D96EA4F" w14:textId="03181EE4" w:rsidR="00570E9B" w:rsidRDefault="003462F6" w:rsidP="006169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los sistemas complejos la teoría de la autopoiesis muestra la reorganizaron de la vida completa de las personas para favorecer la regulación y la preservación de este sistema vivo</w:t>
      </w:r>
      <w:r w:rsidR="00616911">
        <w:rPr>
          <w:rFonts w:ascii="Times New Roman" w:eastAsia="Times New Roman" w:hAnsi="Times New Roman" w:cs="Times New Roman"/>
          <w:sz w:val="24"/>
          <w:szCs w:val="24"/>
        </w:rPr>
        <w:t>. Cuando las personas logran mejorar sus espacios para satisfacer sus necesidades tanto de primer y de segundo nivel, es evidente la adaptabilidad y su contribución a la verdadera resiliencia de sus habitantes.</w:t>
      </w:r>
      <w:r>
        <w:rPr>
          <w:rFonts w:ascii="Times New Roman" w:eastAsia="Times New Roman" w:hAnsi="Times New Roman" w:cs="Times New Roman"/>
          <w:sz w:val="24"/>
          <w:szCs w:val="24"/>
        </w:rPr>
        <w:t xml:space="preserve"> </w:t>
      </w:r>
      <w:r w:rsidR="00616911">
        <w:rPr>
          <w:rFonts w:ascii="Times New Roman" w:eastAsia="Times New Roman" w:hAnsi="Times New Roman" w:cs="Times New Roman"/>
          <w:sz w:val="24"/>
          <w:szCs w:val="24"/>
        </w:rPr>
        <w:t xml:space="preserve">En el </w:t>
      </w:r>
      <w:r>
        <w:rPr>
          <w:rFonts w:ascii="Times New Roman" w:eastAsia="Times New Roman" w:hAnsi="Times New Roman" w:cs="Times New Roman"/>
          <w:sz w:val="24"/>
          <w:szCs w:val="24"/>
        </w:rPr>
        <w:t xml:space="preserve">contexto de la vivienda y de acuerdo a los grupos etarios analizados, los aspectos que incentivan esa resiliencia son: </w:t>
      </w:r>
    </w:p>
    <w:p w14:paraId="21A7D7C8" w14:textId="77777777" w:rsidR="00570E9B" w:rsidRDefault="00570E9B">
      <w:pPr>
        <w:spacing w:line="360" w:lineRule="auto"/>
        <w:jc w:val="both"/>
        <w:rPr>
          <w:rFonts w:ascii="Times New Roman" w:eastAsia="Times New Roman" w:hAnsi="Times New Roman" w:cs="Times New Roman"/>
          <w:sz w:val="24"/>
          <w:szCs w:val="24"/>
        </w:rPr>
      </w:pPr>
    </w:p>
    <w:p w14:paraId="3F0DC988"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Niños y adolescentes: Encontraron apoyo emocional en los espacios comunes y el acceso a áreas al aire libre, lo que fortaleció el vínculo familiar y su bienestar.</w:t>
      </w:r>
    </w:p>
    <w:p w14:paraId="0EF930E3"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Jóvenes y adultos: Valoran la disponibilidad de áreas privadas, bien iluminadas y ventiladas, como esenciales para el autocuidado y la estabilidad emocional.</w:t>
      </w:r>
    </w:p>
    <w:p w14:paraId="08D53D13"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Adultos mayores: Utilizan la introspección y el fortalecimiento de vínculos afectivos como recursos clave para sobrellevar el aislamiento, subrayando la importancia de espacios que promuevan autonomía y confort.</w:t>
      </w:r>
    </w:p>
    <w:p w14:paraId="7794B5C0" w14:textId="77777777" w:rsidR="00570E9B" w:rsidRDefault="00570E9B">
      <w:pPr>
        <w:spacing w:line="360" w:lineRule="auto"/>
        <w:jc w:val="both"/>
        <w:rPr>
          <w:rFonts w:ascii="Times New Roman" w:eastAsia="Times New Roman" w:hAnsi="Times New Roman" w:cs="Times New Roman"/>
          <w:sz w:val="24"/>
          <w:szCs w:val="24"/>
        </w:rPr>
      </w:pPr>
    </w:p>
    <w:p w14:paraId="1F0D7B44"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se destaca que las viviendas con condiciones de habitabilidad </w:t>
      </w:r>
      <w:commentRangeStart w:id="29"/>
      <w:r>
        <w:rPr>
          <w:rFonts w:ascii="Times New Roman" w:eastAsia="Times New Roman" w:hAnsi="Times New Roman" w:cs="Times New Roman"/>
          <w:sz w:val="24"/>
          <w:szCs w:val="24"/>
        </w:rPr>
        <w:t>adecuadas</w:t>
      </w:r>
      <w:commentRangeEnd w:id="29"/>
      <w:r w:rsidR="00F51751">
        <w:rPr>
          <w:rStyle w:val="Refdecomentario"/>
        </w:rPr>
        <w:commentReference w:id="29"/>
      </w:r>
      <w:r>
        <w:rPr>
          <w:rFonts w:ascii="Times New Roman" w:eastAsia="Times New Roman" w:hAnsi="Times New Roman" w:cs="Times New Roman"/>
          <w:sz w:val="24"/>
          <w:szCs w:val="24"/>
        </w:rPr>
        <w:t xml:space="preserve"> no solo mitigan los efectos negativos del confinamiento, sino que también fortalecen la resiliencia de sus habitantes. Esto subraya la importancia de replantear el diseño habitacional para integrar tanto aspectos físicos como simbólicos, promoviendo una mayor calidad de vida y fomentando viviendas adaptativas y resilientes que puedan ser clave en tiempos adversos. Aún queda camino por recorrer para consolidar una teoría clara sobre la habitabilidad y sus elementos esenciales. Es crucial ampliar la investigación en este ámbito para asegurar que, en caso de una nueva emergencia sanitaria, las personas puedan enfrentar la situación en entornos mejor preparados, sin verse forzadas a permanecer en hogares que no ofrezcan las condiciones necesarias para sobrellevar circunstancias </w:t>
      </w:r>
      <w:commentRangeStart w:id="30"/>
      <w:r>
        <w:rPr>
          <w:rFonts w:ascii="Times New Roman" w:eastAsia="Times New Roman" w:hAnsi="Times New Roman" w:cs="Times New Roman"/>
          <w:sz w:val="24"/>
          <w:szCs w:val="24"/>
        </w:rPr>
        <w:t>críticas</w:t>
      </w:r>
      <w:commentRangeEnd w:id="30"/>
      <w:r w:rsidR="00F51751">
        <w:rPr>
          <w:rStyle w:val="Refdecomentario"/>
        </w:rPr>
        <w:commentReference w:id="30"/>
      </w:r>
      <w:r>
        <w:rPr>
          <w:rFonts w:ascii="Times New Roman" w:eastAsia="Times New Roman" w:hAnsi="Times New Roman" w:cs="Times New Roman"/>
          <w:sz w:val="24"/>
          <w:szCs w:val="24"/>
        </w:rPr>
        <w:t>.</w:t>
      </w:r>
    </w:p>
    <w:p w14:paraId="633EA48F" w14:textId="77777777" w:rsidR="00570E9B" w:rsidRDefault="00570E9B">
      <w:pPr>
        <w:spacing w:line="360" w:lineRule="auto"/>
        <w:jc w:val="both"/>
        <w:rPr>
          <w:rFonts w:ascii="Times New Roman" w:eastAsia="Times New Roman" w:hAnsi="Times New Roman" w:cs="Times New Roman"/>
          <w:color w:val="0000FF"/>
          <w:sz w:val="24"/>
          <w:szCs w:val="24"/>
        </w:rPr>
      </w:pPr>
    </w:p>
    <w:p w14:paraId="53B1E458" w14:textId="77777777" w:rsidR="00FA5485" w:rsidRDefault="00FA5485">
      <w:pPr>
        <w:spacing w:line="360" w:lineRule="auto"/>
        <w:jc w:val="both"/>
        <w:rPr>
          <w:rFonts w:ascii="Times New Roman" w:eastAsia="Times New Roman" w:hAnsi="Times New Roman" w:cs="Times New Roman"/>
          <w:color w:val="0000FF"/>
          <w:sz w:val="24"/>
          <w:szCs w:val="24"/>
        </w:rPr>
      </w:pPr>
    </w:p>
    <w:p w14:paraId="78F9FFBD" w14:textId="77777777" w:rsidR="00FA5485" w:rsidRPr="00FA5485" w:rsidRDefault="00FA5485">
      <w:pPr>
        <w:spacing w:line="360" w:lineRule="auto"/>
        <w:jc w:val="both"/>
        <w:rPr>
          <w:rFonts w:ascii="Times New Roman" w:eastAsia="Times New Roman" w:hAnsi="Times New Roman" w:cs="Times New Roman"/>
          <w:color w:val="0000FF"/>
          <w:sz w:val="24"/>
          <w:szCs w:val="24"/>
        </w:rPr>
      </w:pPr>
    </w:p>
    <w:p w14:paraId="753BFF60" w14:textId="77777777" w:rsidR="00570E9B" w:rsidRPr="00A33F02" w:rsidRDefault="003462F6">
      <w:pPr>
        <w:spacing w:after="240" w:line="360" w:lineRule="auto"/>
        <w:jc w:val="both"/>
        <w:rPr>
          <w:rFonts w:ascii="Times New Roman" w:eastAsia="Times New Roman" w:hAnsi="Times New Roman" w:cs="Times New Roman"/>
          <w:b/>
          <w:sz w:val="26"/>
          <w:szCs w:val="26"/>
          <w:lang w:val="en-US"/>
        </w:rPr>
      </w:pPr>
      <w:r w:rsidRPr="00A33F02">
        <w:rPr>
          <w:rFonts w:ascii="Times New Roman" w:eastAsia="Times New Roman" w:hAnsi="Times New Roman" w:cs="Times New Roman"/>
          <w:b/>
          <w:sz w:val="26"/>
          <w:szCs w:val="26"/>
          <w:lang w:val="en-US"/>
        </w:rPr>
        <w:t>Referencias</w:t>
      </w:r>
      <w:bookmarkStart w:id="31" w:name="_GoBack"/>
      <w:bookmarkEnd w:id="31"/>
    </w:p>
    <w:p w14:paraId="19C108A1"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sidRPr="00A33F02">
        <w:rPr>
          <w:rFonts w:ascii="Times New Roman" w:eastAsia="Times New Roman" w:hAnsi="Times New Roman" w:cs="Times New Roman"/>
          <w:sz w:val="20"/>
          <w:szCs w:val="20"/>
          <w:lang w:val="en-US"/>
        </w:rPr>
        <w:lastRenderedPageBreak/>
        <w:t xml:space="preserve">Amirzadeh, M., Sobhaninia, S., Buckman, S. T., &amp; Sharifi, A. (2023). Towards building resilient cities to pandemics: A review of COVID-19 literature. </w:t>
      </w:r>
      <w:r w:rsidRPr="00A33F02">
        <w:rPr>
          <w:rFonts w:ascii="Times New Roman" w:eastAsia="Times New Roman" w:hAnsi="Times New Roman" w:cs="Times New Roman"/>
          <w:i/>
          <w:sz w:val="20"/>
          <w:szCs w:val="20"/>
          <w:lang w:val="en-US"/>
        </w:rPr>
        <w:t>Sustainable Cities and Society, 89.</w:t>
      </w:r>
      <w:hyperlink r:id="rId11">
        <w:r w:rsidR="00570E9B" w:rsidRPr="00A33F02">
          <w:rPr>
            <w:rFonts w:ascii="Times New Roman" w:eastAsia="Times New Roman" w:hAnsi="Times New Roman" w:cs="Times New Roman"/>
            <w:sz w:val="20"/>
            <w:szCs w:val="20"/>
            <w:lang w:val="en-US"/>
          </w:rPr>
          <w:t xml:space="preserve"> https://doi.org/10.1016/j.scs.2022.104326</w:t>
        </w:r>
      </w:hyperlink>
    </w:p>
    <w:p w14:paraId="1D74BA9E"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sidRPr="00A33F02">
        <w:rPr>
          <w:rFonts w:ascii="Times New Roman" w:eastAsia="Times New Roman" w:hAnsi="Times New Roman" w:cs="Times New Roman"/>
          <w:sz w:val="20"/>
          <w:szCs w:val="20"/>
          <w:lang w:val="en-US"/>
        </w:rPr>
        <w:t xml:space="preserve">Amerio, A., Brambilla, A., Morganti, A., Aguglia, A., Bianchi, D., Santi, F., Capolongo, S. (2020). COVID-19 Lockdown: Housing Built Effects on Mental Health. </w:t>
      </w:r>
      <w:r w:rsidRPr="00A33F02">
        <w:rPr>
          <w:rFonts w:ascii="Times New Roman" w:eastAsia="Times New Roman" w:hAnsi="Times New Roman" w:cs="Times New Roman"/>
          <w:i/>
          <w:sz w:val="20"/>
          <w:szCs w:val="20"/>
          <w:lang w:val="en-US"/>
        </w:rPr>
        <w:t>International Journal of Environmental Research and Public Health, 17</w:t>
      </w:r>
      <w:r w:rsidRPr="00A33F02">
        <w:rPr>
          <w:rFonts w:ascii="Times New Roman" w:eastAsia="Times New Roman" w:hAnsi="Times New Roman" w:cs="Times New Roman"/>
          <w:sz w:val="20"/>
          <w:szCs w:val="20"/>
          <w:lang w:val="en-US"/>
        </w:rPr>
        <w:t>(5973). doi:10.3390/ijerph17165973</w:t>
      </w:r>
    </w:p>
    <w:p w14:paraId="222806BB"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BBC News Mundo. (2020). </w:t>
      </w:r>
      <w:r>
        <w:rPr>
          <w:rFonts w:ascii="Times New Roman" w:eastAsia="Times New Roman" w:hAnsi="Times New Roman" w:cs="Times New Roman"/>
          <w:i/>
          <w:sz w:val="20"/>
          <w:szCs w:val="20"/>
        </w:rPr>
        <w:t>BBC.</w:t>
      </w:r>
      <w:r>
        <w:rPr>
          <w:rFonts w:ascii="Times New Roman" w:eastAsia="Times New Roman" w:hAnsi="Times New Roman" w:cs="Times New Roman"/>
          <w:sz w:val="20"/>
          <w:szCs w:val="20"/>
        </w:rPr>
        <w:t xml:space="preserve"> Recuperado el 20 de 05 de 2020, de</w:t>
      </w:r>
      <w:hyperlink r:id="rId12">
        <w:r w:rsidR="00570E9B">
          <w:rPr>
            <w:rFonts w:ascii="Times New Roman" w:eastAsia="Times New Roman" w:hAnsi="Times New Roman" w:cs="Times New Roman"/>
            <w:sz w:val="20"/>
            <w:szCs w:val="20"/>
          </w:rPr>
          <w:t xml:space="preserve"> https://www.bbc.com/mundo/noticias-52009140</w:t>
        </w:r>
      </w:hyperlink>
    </w:p>
    <w:p w14:paraId="3E2E6819"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CNDH México. (2019). </w:t>
      </w:r>
      <w:r>
        <w:rPr>
          <w:rFonts w:ascii="Times New Roman" w:eastAsia="Times New Roman" w:hAnsi="Times New Roman" w:cs="Times New Roman"/>
          <w:i/>
          <w:sz w:val="20"/>
          <w:szCs w:val="20"/>
        </w:rPr>
        <w:t>Análisis Situacional de los Derechos Humanos de Niñas, Niños y Adolescentes.</w:t>
      </w:r>
      <w:r>
        <w:rPr>
          <w:rFonts w:ascii="Times New Roman" w:eastAsia="Times New Roman" w:hAnsi="Times New Roman" w:cs="Times New Roman"/>
          <w:sz w:val="20"/>
          <w:szCs w:val="20"/>
        </w:rPr>
        <w:t xml:space="preserve"> Comisión Nacional de los Derechos Humanos, México. Recuperado de</w:t>
      </w:r>
      <w:hyperlink r:id="rId13">
        <w:r w:rsidR="00570E9B">
          <w:rPr>
            <w:rFonts w:ascii="Times New Roman" w:eastAsia="Times New Roman" w:hAnsi="Times New Roman" w:cs="Times New Roman"/>
            <w:sz w:val="20"/>
            <w:szCs w:val="20"/>
          </w:rPr>
          <w:t xml:space="preserve"> https://n9.cl/rtihi</w:t>
        </w:r>
      </w:hyperlink>
    </w:p>
    <w:p w14:paraId="155C645F" w14:textId="77777777" w:rsidR="00570E9B" w:rsidRDefault="003462F6">
      <w:pPr>
        <w:spacing w:after="240" w:line="360" w:lineRule="auto"/>
        <w:ind w:left="700"/>
        <w:jc w:val="both"/>
        <w:rPr>
          <w:rFonts w:ascii="Times New Roman" w:eastAsia="Times New Roman" w:hAnsi="Times New Roman" w:cs="Times New Roman"/>
          <w:sz w:val="20"/>
          <w:szCs w:val="20"/>
        </w:rPr>
      </w:pPr>
      <w:r w:rsidRPr="00A33F02">
        <w:rPr>
          <w:rFonts w:ascii="Times New Roman" w:eastAsia="Times New Roman" w:hAnsi="Times New Roman" w:cs="Times New Roman"/>
          <w:sz w:val="20"/>
          <w:szCs w:val="20"/>
          <w:lang w:val="en-US"/>
        </w:rPr>
        <w:t xml:space="preserve">Cocozza, A. (2023). Theory and History in the Human and Social Sciences. In </w:t>
      </w:r>
      <w:r w:rsidRPr="00A33F02">
        <w:rPr>
          <w:rFonts w:ascii="Times New Roman" w:eastAsia="Times New Roman" w:hAnsi="Times New Roman" w:cs="Times New Roman"/>
          <w:i/>
          <w:sz w:val="20"/>
          <w:szCs w:val="20"/>
          <w:lang w:val="en-US"/>
        </w:rPr>
        <w:t>The Unexpected in Action: Ethics, Rationality, and Skills.</w:t>
      </w:r>
      <w:r w:rsidRPr="00A33F02">
        <w:rPr>
          <w:rFonts w:ascii="Times New Roman" w:eastAsia="Times New Roman" w:hAnsi="Times New Roman" w:cs="Times New Roman"/>
          <w:sz w:val="20"/>
          <w:szCs w:val="20"/>
          <w:lang w:val="en-US"/>
        </w:rPr>
        <w:t xml:space="preserve"> Springer Nature Switzerland.</w:t>
      </w:r>
      <w:hyperlink r:id="rId14">
        <w:r w:rsidR="00570E9B" w:rsidRPr="00A33F02">
          <w:rPr>
            <w:rFonts w:ascii="Times New Roman" w:eastAsia="Times New Roman" w:hAnsi="Times New Roman" w:cs="Times New Roman"/>
            <w:sz w:val="20"/>
            <w:szCs w:val="20"/>
            <w:lang w:val="en-US"/>
          </w:rPr>
          <w:t xml:space="preserve"> </w:t>
        </w:r>
        <w:r w:rsidR="00570E9B">
          <w:rPr>
            <w:rFonts w:ascii="Times New Roman" w:eastAsia="Times New Roman" w:hAnsi="Times New Roman" w:cs="Times New Roman"/>
            <w:sz w:val="20"/>
            <w:szCs w:val="20"/>
          </w:rPr>
          <w:t>https://doi.org/10.1007/978-3-031-26793-2_4</w:t>
        </w:r>
      </w:hyperlink>
    </w:p>
    <w:p w14:paraId="14834976"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Cortés Álvarez, N. Y. (2021). Introducción. In </w:t>
      </w:r>
      <w:r>
        <w:rPr>
          <w:rFonts w:ascii="Times New Roman" w:eastAsia="Times New Roman" w:hAnsi="Times New Roman" w:cs="Times New Roman"/>
          <w:i/>
          <w:sz w:val="20"/>
          <w:szCs w:val="20"/>
        </w:rPr>
        <w:t>La pandemia de la COVID-19 y sus efectos colaterales</w:t>
      </w:r>
      <w:r>
        <w:rPr>
          <w:rFonts w:ascii="Times New Roman" w:eastAsia="Times New Roman" w:hAnsi="Times New Roman" w:cs="Times New Roman"/>
          <w:sz w:val="20"/>
          <w:szCs w:val="20"/>
        </w:rPr>
        <w:t xml:space="preserve"> (pp. 11-17). Universidad de Guanajuato. ISBN: 978-607-441-897-2</w:t>
      </w:r>
    </w:p>
    <w:p w14:paraId="0BA5E925"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Cuerdo Vilches, T., San José, I. O., &amp; Navas Martín, M. Á. (2020). Proyecto sobre confinamiento social (covid-19), vivienda y habitabilidad [COVID-HAB]. </w:t>
      </w:r>
      <w:r>
        <w:rPr>
          <w:rFonts w:ascii="Times New Roman" w:eastAsia="Times New Roman" w:hAnsi="Times New Roman" w:cs="Times New Roman"/>
          <w:i/>
          <w:sz w:val="20"/>
          <w:szCs w:val="20"/>
        </w:rPr>
        <w:t>Paraninfo Digital, 14</w:t>
      </w:r>
      <w:r>
        <w:rPr>
          <w:rFonts w:ascii="Times New Roman" w:eastAsia="Times New Roman" w:hAnsi="Times New Roman" w:cs="Times New Roman"/>
          <w:sz w:val="20"/>
          <w:szCs w:val="20"/>
        </w:rPr>
        <w:t>(32).</w:t>
      </w:r>
      <w:hyperlink r:id="rId15">
        <w:r w:rsidR="00570E9B">
          <w:rPr>
            <w:rFonts w:ascii="Times New Roman" w:eastAsia="Times New Roman" w:hAnsi="Times New Roman" w:cs="Times New Roman"/>
            <w:sz w:val="20"/>
            <w:szCs w:val="20"/>
          </w:rPr>
          <w:t xml:space="preserve"> https://ciberindex.com/index.php/pd/article/view/e32066o</w:t>
        </w:r>
      </w:hyperlink>
    </w:p>
    <w:p w14:paraId="4C6E0D39" w14:textId="34FE257D" w:rsidR="00616911" w:rsidRPr="00616911" w:rsidRDefault="003462F6" w:rsidP="00616911">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Cyrulnik, B. (2002). </w:t>
      </w:r>
      <w:r>
        <w:rPr>
          <w:rFonts w:ascii="Times New Roman" w:eastAsia="Times New Roman" w:hAnsi="Times New Roman" w:cs="Times New Roman"/>
          <w:i/>
          <w:sz w:val="20"/>
          <w:szCs w:val="20"/>
        </w:rPr>
        <w:t>Los patitos feos: la resiliencia: una infancia infeliz no determina la vida.</w:t>
      </w:r>
      <w:r>
        <w:rPr>
          <w:rFonts w:ascii="Times New Roman" w:eastAsia="Times New Roman" w:hAnsi="Times New Roman" w:cs="Times New Roman"/>
          <w:sz w:val="20"/>
          <w:szCs w:val="20"/>
        </w:rPr>
        <w:t xml:space="preserve"> Gedisa.</w:t>
      </w:r>
    </w:p>
    <w:p w14:paraId="78F473B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González, J. (2009). La teoría de la complejidad. </w:t>
      </w:r>
      <w:r>
        <w:rPr>
          <w:rFonts w:ascii="Times New Roman" w:eastAsia="Times New Roman" w:hAnsi="Times New Roman" w:cs="Times New Roman"/>
          <w:i/>
          <w:sz w:val="20"/>
          <w:szCs w:val="20"/>
        </w:rPr>
        <w:t>Red de Revistas Científicas de América Latina, el Caribe, España y Portugal, 76,</w:t>
      </w:r>
      <w:r>
        <w:rPr>
          <w:rFonts w:ascii="Times New Roman" w:eastAsia="Times New Roman" w:hAnsi="Times New Roman" w:cs="Times New Roman"/>
          <w:sz w:val="20"/>
          <w:szCs w:val="20"/>
        </w:rPr>
        <w:t xml:space="preserve"> núm 157, 243 - 245.</w:t>
      </w:r>
      <w:hyperlink r:id="rId16">
        <w:r w:rsidR="00570E9B">
          <w:rPr>
            <w:rFonts w:ascii="Times New Roman" w:eastAsia="Times New Roman" w:hAnsi="Times New Roman" w:cs="Times New Roman"/>
            <w:sz w:val="20"/>
            <w:szCs w:val="20"/>
          </w:rPr>
          <w:t xml:space="preserve"> http://www.redalyc.org/articulo.oa?id=49611942024</w:t>
        </w:r>
      </w:hyperlink>
    </w:p>
    <w:p w14:paraId="55095D26"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Habraken, N. J. (2000). </w:t>
      </w:r>
      <w:r w:rsidRPr="00A33F02">
        <w:rPr>
          <w:rFonts w:ascii="Times New Roman" w:eastAsia="Times New Roman" w:hAnsi="Times New Roman" w:cs="Times New Roman"/>
          <w:i/>
          <w:sz w:val="20"/>
          <w:szCs w:val="20"/>
          <w:lang w:val="en-US"/>
        </w:rPr>
        <w:t>The Structure of the Ordinary: Form and Control in the Built Environment</w:t>
      </w:r>
      <w:r w:rsidRPr="00A33F02">
        <w:rPr>
          <w:rFonts w:ascii="Times New Roman" w:eastAsia="Times New Roman" w:hAnsi="Times New Roman" w:cs="Times New Roman"/>
          <w:sz w:val="20"/>
          <w:szCs w:val="20"/>
          <w:lang w:val="en-US"/>
        </w:rPr>
        <w:t xml:space="preserve"> (N. J. Habraken &amp; J. Teicher, Eds.). </w:t>
      </w:r>
      <w:r>
        <w:rPr>
          <w:rFonts w:ascii="Times New Roman" w:eastAsia="Times New Roman" w:hAnsi="Times New Roman" w:cs="Times New Roman"/>
          <w:sz w:val="20"/>
          <w:szCs w:val="20"/>
        </w:rPr>
        <w:t>Penguin Random House LLC.</w:t>
      </w:r>
    </w:p>
    <w:p w14:paraId="634750E5"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Hernández Pérez, K. S. (2022). Análisis de la vivienda y su relación con la salud a partir de las condiciones de habitabilidad. Caso de estudio: “el confinamiento en México durante la pandemia por la COVID-19” [Tesis doctoral]. Repositorio Académico Digital UANL. http://eprints.uanl.mx/id/eprint/23636</w:t>
      </w:r>
    </w:p>
    <w:p w14:paraId="41F7561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(2022). Una pandemia no apta para niños. La vivienda en México como lugar de confinamiento. </w:t>
      </w:r>
      <w:r>
        <w:rPr>
          <w:rFonts w:ascii="Times New Roman" w:eastAsia="Times New Roman" w:hAnsi="Times New Roman" w:cs="Times New Roman"/>
          <w:i/>
          <w:sz w:val="20"/>
          <w:szCs w:val="20"/>
        </w:rPr>
        <w:t>MADGU. Mundo, Arquitectura, Diseño Gráfico y Urbanismo, 5</w:t>
      </w:r>
      <w:r>
        <w:rPr>
          <w:rFonts w:ascii="Times New Roman" w:eastAsia="Times New Roman" w:hAnsi="Times New Roman" w:cs="Times New Roman"/>
          <w:sz w:val="20"/>
          <w:szCs w:val="20"/>
        </w:rPr>
        <w:t>(10), 33.</w:t>
      </w:r>
      <w:hyperlink r:id="rId17">
        <w:r w:rsidR="00570E9B">
          <w:rPr>
            <w:rFonts w:ascii="Times New Roman" w:eastAsia="Times New Roman" w:hAnsi="Times New Roman" w:cs="Times New Roman"/>
            <w:sz w:val="20"/>
            <w:szCs w:val="20"/>
          </w:rPr>
          <w:t xml:space="preserve"> https://doi.org/10.36800/madgu.v6i10.87</w:t>
        </w:r>
      </w:hyperlink>
    </w:p>
    <w:p w14:paraId="48AE24E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Hernández Pérez, K. S., &amp; Rivera Herrera, N. L. (2017). La epigenética y la vivienda social, más allá de un espacio carente de función y forma. In M. E. Molar Orozco &amp; R. S. Roux Gutiérrez (Eds.), </w:t>
      </w:r>
      <w:r>
        <w:rPr>
          <w:rFonts w:ascii="Times New Roman" w:eastAsia="Times New Roman" w:hAnsi="Times New Roman" w:cs="Times New Roman"/>
          <w:i/>
          <w:sz w:val="20"/>
          <w:szCs w:val="20"/>
        </w:rPr>
        <w:t>Los retos en la vivienda del siglo XXI</w:t>
      </w:r>
      <w:r>
        <w:rPr>
          <w:rFonts w:ascii="Times New Roman" w:eastAsia="Times New Roman" w:hAnsi="Times New Roman" w:cs="Times New Roman"/>
          <w:sz w:val="20"/>
          <w:szCs w:val="20"/>
        </w:rPr>
        <w:t xml:space="preserve"> (pp. 131-140). ISBN: 978-607-506-302-7</w:t>
      </w:r>
    </w:p>
    <w:p w14:paraId="5BCA20A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&amp; Rivera Herrera, N. L. (2019). Análisis de la calidad de vida y sus efectos en la epigenética humana desde el enfoque del Desarrollo Sostenible. In N. L. Rivera Herrera &amp; L. A. Ramírez Barragán (Eds.), </w:t>
      </w:r>
      <w:r>
        <w:rPr>
          <w:rFonts w:ascii="Times New Roman" w:eastAsia="Times New Roman" w:hAnsi="Times New Roman" w:cs="Times New Roman"/>
          <w:i/>
          <w:sz w:val="20"/>
          <w:szCs w:val="20"/>
        </w:rPr>
        <w:t>Retos de las ciudades Reflexión desde el ODS 11</w:t>
      </w:r>
      <w:r>
        <w:rPr>
          <w:rFonts w:ascii="Times New Roman" w:eastAsia="Times New Roman" w:hAnsi="Times New Roman" w:cs="Times New Roman"/>
          <w:sz w:val="20"/>
          <w:szCs w:val="20"/>
        </w:rPr>
        <w:t xml:space="preserve"> (pp. 57-86). Universidad de Guadalajara. ISBN EBook 978-607-547-781-7</w:t>
      </w:r>
    </w:p>
    <w:p w14:paraId="7454BBF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&amp; Vázquez Rodríguez, G. (2021). Aproximación teórica de la vinculación sobre vivienda urbana y salud. In E. Rivera Borrayo, A. B. Narváez Tijerina, &amp; M. T. Pérez Bourzac (Eds.), </w:t>
      </w:r>
      <w:r>
        <w:rPr>
          <w:rFonts w:ascii="Times New Roman" w:eastAsia="Times New Roman" w:hAnsi="Times New Roman" w:cs="Times New Roman"/>
          <w:i/>
          <w:sz w:val="20"/>
          <w:szCs w:val="20"/>
        </w:rPr>
        <w:t>Movilidad, espacio y formas de exclusión en las ciudades</w:t>
      </w:r>
      <w:r>
        <w:rPr>
          <w:rFonts w:ascii="Times New Roman" w:eastAsia="Times New Roman" w:hAnsi="Times New Roman" w:cs="Times New Roman"/>
          <w:sz w:val="20"/>
          <w:szCs w:val="20"/>
        </w:rPr>
        <w:t xml:space="preserve"> (pp. 63-85). Universidad de Guadalajara, Centro Universitario de Arte, Arquitectura y Diseño.</w:t>
      </w:r>
    </w:p>
    <w:p w14:paraId="71BB6C6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Rodríguez, J. (2020). Impacto de la COVID-19 sobre la salud mental de las personas. </w:t>
      </w:r>
      <w:r>
        <w:rPr>
          <w:rFonts w:ascii="Times New Roman" w:eastAsia="Times New Roman" w:hAnsi="Times New Roman" w:cs="Times New Roman"/>
          <w:i/>
          <w:sz w:val="20"/>
          <w:szCs w:val="20"/>
        </w:rPr>
        <w:t>Medicentro Electrónica, 24</w:t>
      </w:r>
      <w:r>
        <w:rPr>
          <w:rFonts w:ascii="Times New Roman" w:eastAsia="Times New Roman" w:hAnsi="Times New Roman" w:cs="Times New Roman"/>
          <w:sz w:val="20"/>
          <w:szCs w:val="20"/>
        </w:rPr>
        <w:t>(3), 578-594. Obtenido de</w:t>
      </w:r>
      <w:hyperlink r:id="rId18">
        <w:r w:rsidR="00570E9B">
          <w:rPr>
            <w:rFonts w:ascii="Times New Roman" w:eastAsia="Times New Roman" w:hAnsi="Times New Roman" w:cs="Times New Roman"/>
            <w:sz w:val="20"/>
            <w:szCs w:val="20"/>
          </w:rPr>
          <w:t xml:space="preserve"> http://scielo.sld.cu/scielo.php?script=sci_arttext&amp;pid=S1029-30432020000300578&amp;lng=es&amp;nrm=iso</w:t>
        </w:r>
      </w:hyperlink>
    </w:p>
    <w:p w14:paraId="185943DD" w14:textId="77777777" w:rsidR="00570E9B" w:rsidRDefault="003462F6">
      <w:pPr>
        <w:spacing w:after="240" w:line="360" w:lineRule="auto"/>
        <w:ind w:left="70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Ip, P. (31 de 03 de 2022). </w:t>
      </w:r>
      <w:r>
        <w:rPr>
          <w:rFonts w:ascii="Times New Roman" w:eastAsia="Times New Roman" w:hAnsi="Times New Roman" w:cs="Times New Roman"/>
          <w:i/>
          <w:sz w:val="20"/>
          <w:szCs w:val="20"/>
        </w:rPr>
        <w:t>SIXTH TONE.</w:t>
      </w:r>
    </w:p>
    <w:p w14:paraId="338D362D"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Jaimes Torres, M., Aguilera Portillo, M., Cuerdo-Vilches, T., Oteiza, I., &amp; Navas-Martín, M. Á. (2021). </w:t>
      </w:r>
      <w:r w:rsidRPr="00A33F02">
        <w:rPr>
          <w:rFonts w:ascii="Times New Roman" w:eastAsia="Times New Roman" w:hAnsi="Times New Roman" w:cs="Times New Roman"/>
          <w:sz w:val="20"/>
          <w:szCs w:val="20"/>
          <w:lang w:val="en-US"/>
        </w:rPr>
        <w:t xml:space="preserve">Habitability, Resilience, and Satisfaction in Mexican Homes to COVID-19 Pandemic. </w:t>
      </w:r>
      <w:r>
        <w:rPr>
          <w:rFonts w:ascii="Times New Roman" w:eastAsia="Times New Roman" w:hAnsi="Times New Roman" w:cs="Times New Roman"/>
          <w:i/>
          <w:sz w:val="20"/>
          <w:szCs w:val="20"/>
        </w:rPr>
        <w:t>Int. J. Environ. Res. Public Health, 18</w:t>
      </w:r>
      <w:r>
        <w:rPr>
          <w:rFonts w:ascii="Times New Roman" w:eastAsia="Times New Roman" w:hAnsi="Times New Roman" w:cs="Times New Roman"/>
          <w:sz w:val="20"/>
          <w:szCs w:val="20"/>
        </w:rPr>
        <w:t>(6993), 1.36. Obtenido de</w:t>
      </w:r>
      <w:hyperlink r:id="rId19">
        <w:r w:rsidR="00570E9B">
          <w:rPr>
            <w:rFonts w:ascii="Times New Roman" w:eastAsia="Times New Roman" w:hAnsi="Times New Roman" w:cs="Times New Roman"/>
            <w:sz w:val="20"/>
            <w:szCs w:val="20"/>
          </w:rPr>
          <w:t xml:space="preserve"> https://doi.org/10.3390/ijerph18136993</w:t>
        </w:r>
      </w:hyperlink>
    </w:p>
    <w:p w14:paraId="4B641B5D"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Luhmann, N. (1997). </w:t>
      </w:r>
      <w:r>
        <w:rPr>
          <w:rFonts w:ascii="Times New Roman" w:eastAsia="Times New Roman" w:hAnsi="Times New Roman" w:cs="Times New Roman"/>
          <w:i/>
          <w:sz w:val="20"/>
          <w:szCs w:val="20"/>
        </w:rPr>
        <w:t>Organización y Decisión: Autopoiesis, Acción y Entendimiento Comunicativo</w:t>
      </w:r>
      <w:r>
        <w:rPr>
          <w:rFonts w:ascii="Times New Roman" w:eastAsia="Times New Roman" w:hAnsi="Times New Roman" w:cs="Times New Roman"/>
          <w:sz w:val="20"/>
          <w:szCs w:val="20"/>
        </w:rPr>
        <w:t xml:space="preserve"> (D. Rodríguez Mansilla, Ed.; D. Rodríguez Mansilla, Trans.). </w:t>
      </w:r>
      <w:r w:rsidRPr="00A33F02">
        <w:rPr>
          <w:rFonts w:ascii="Times New Roman" w:eastAsia="Times New Roman" w:hAnsi="Times New Roman" w:cs="Times New Roman"/>
          <w:sz w:val="20"/>
          <w:szCs w:val="20"/>
          <w:lang w:val="en-US"/>
        </w:rPr>
        <w:t>Anthropos.</w:t>
      </w:r>
    </w:p>
    <w:p w14:paraId="664FA1F2" w14:textId="3DFC97B9" w:rsidR="00570E9B" w:rsidRPr="00AD4751" w:rsidRDefault="003462F6" w:rsidP="00AD4751">
      <w:pPr>
        <w:spacing w:after="240" w:line="360" w:lineRule="auto"/>
        <w:ind w:left="700"/>
        <w:jc w:val="both"/>
        <w:rPr>
          <w:rFonts w:ascii="Times New Roman" w:eastAsia="Times New Roman" w:hAnsi="Times New Roman" w:cs="Times New Roman"/>
          <w:sz w:val="20"/>
          <w:szCs w:val="20"/>
        </w:rPr>
      </w:pPr>
      <w:r w:rsidRPr="00A33F02">
        <w:rPr>
          <w:rFonts w:ascii="Times New Roman" w:eastAsia="Times New Roman" w:hAnsi="Times New Roman" w:cs="Times New Roman"/>
          <w:sz w:val="20"/>
          <w:szCs w:val="20"/>
          <w:lang w:val="en-US"/>
        </w:rPr>
        <w:t xml:space="preserve">Maturana, H.R., &amp; Varela, F. J. (1980). </w:t>
      </w:r>
      <w:r w:rsidRPr="00A33F02">
        <w:rPr>
          <w:rFonts w:ascii="Times New Roman" w:eastAsia="Times New Roman" w:hAnsi="Times New Roman" w:cs="Times New Roman"/>
          <w:i/>
          <w:sz w:val="20"/>
          <w:szCs w:val="20"/>
          <w:lang w:val="en-US"/>
        </w:rPr>
        <w:t>Autopoiesis and Cognition: The Realization of the Living.</w:t>
      </w:r>
      <w:r w:rsidRPr="00A33F02">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Springer Netherlands.</w:t>
      </w:r>
    </w:p>
    <w:sectPr w:rsidR="00570E9B" w:rsidRPr="00AD4751">
      <w:headerReference w:type="default" r:id="rId2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utor" w:initials="A">
    <w:p w14:paraId="30C11E1C" w14:textId="30CDDA45" w:rsidR="00584C51" w:rsidRDefault="00584C51">
      <w:pPr>
        <w:pStyle w:val="Textocomentario"/>
      </w:pPr>
      <w:r>
        <w:rPr>
          <w:rStyle w:val="Refdecomentario"/>
        </w:rPr>
        <w:annotationRef/>
      </w:r>
      <w:r>
        <w:t xml:space="preserve">Se sugiere utilizar un título sucinto, que lleve al lector del tema principal que es el vínculo entre las condiciones de habitabilidad de la vivienda con la salud de sus habitadores con el fenómeno de pandemia y los casos de estudio en México </w:t>
      </w:r>
    </w:p>
  </w:comment>
  <w:comment w:id="3" w:author="Autor" w:initials="A">
    <w:p w14:paraId="46BB1FE2" w14:textId="6DCE0728" w:rsidR="000B14DB" w:rsidRDefault="000B14DB">
      <w:pPr>
        <w:pStyle w:val="Textocomentario"/>
      </w:pPr>
      <w:r>
        <w:rPr>
          <w:rStyle w:val="Refdecomentario"/>
        </w:rPr>
        <w:annotationRef/>
      </w:r>
      <w:r>
        <w:t>Revisar la redacción, resulta redundante si se utilizan en la misma frase resiliencia, adaptabilidad y autogeneración de nuevas dinámicas, todo ello nos lleva a lo mismo.</w:t>
      </w:r>
    </w:p>
    <w:p w14:paraId="13F56F83" w14:textId="77777777" w:rsidR="000B14DB" w:rsidRDefault="000B14DB">
      <w:pPr>
        <w:pStyle w:val="Textocomentario"/>
      </w:pPr>
    </w:p>
  </w:comment>
  <w:comment w:id="4" w:author="Autor" w:initials="A">
    <w:p w14:paraId="624F8C95" w14:textId="77777777" w:rsidR="000B14DB" w:rsidRDefault="000B14DB">
      <w:pPr>
        <w:pStyle w:val="Textocomentario"/>
      </w:pPr>
      <w:r>
        <w:rPr>
          <w:rStyle w:val="Refdecomentario"/>
        </w:rPr>
        <w:annotationRef/>
      </w:r>
      <w:r>
        <w:t xml:space="preserve">Conviene que todo este párrafo vaya después de que se habla de la investigación. Tal vez iniciar Este escrito presenta una investigación basada… </w:t>
      </w:r>
    </w:p>
    <w:p w14:paraId="3DB9DF2A" w14:textId="5AF366C9" w:rsidR="000B14DB" w:rsidRDefault="000B14DB">
      <w:pPr>
        <w:pStyle w:val="Textocomentario"/>
      </w:pPr>
      <w:r>
        <w:t>Esto para dar jerarquía al objetivo de la investigación.</w:t>
      </w:r>
    </w:p>
  </w:comment>
  <w:comment w:id="6" w:author="Autor" w:initials="A">
    <w:p w14:paraId="06DB7F60" w14:textId="6A996165" w:rsidR="00746E0F" w:rsidRDefault="00746E0F">
      <w:pPr>
        <w:pStyle w:val="Textocomentario"/>
      </w:pPr>
      <w:r>
        <w:rPr>
          <w:rStyle w:val="Refdecomentario"/>
        </w:rPr>
        <w:annotationRef/>
      </w:r>
      <w:r>
        <w:t>Antes de señalar el contexto, es importante introducir al lector al tema del estudio y su relevancia. Cuidar las citas, que se diferencie claramente lo que dicen los autores de lo que dice quien escribe este texto.</w:t>
      </w:r>
    </w:p>
  </w:comment>
  <w:comment w:id="7" w:author="Autor" w:initials="A">
    <w:p w14:paraId="259DD687" w14:textId="4D40BC0E" w:rsidR="008D0989" w:rsidRDefault="008D0989">
      <w:pPr>
        <w:pStyle w:val="Textocomentario"/>
      </w:pPr>
      <w:r>
        <w:rPr>
          <w:rStyle w:val="Refdecomentario"/>
        </w:rPr>
        <w:annotationRef/>
      </w:r>
      <w:r>
        <w:t>Precisa ser más objetivo el subtítulo sobre lo que se desarrolla en este apartado.</w:t>
      </w:r>
    </w:p>
  </w:comment>
  <w:comment w:id="8" w:author="Autor" w:initials="A">
    <w:p w14:paraId="6F320F4D" w14:textId="2B4D3F2D" w:rsidR="008D0989" w:rsidRDefault="008D0989">
      <w:pPr>
        <w:pStyle w:val="Textocomentario"/>
      </w:pPr>
      <w:r>
        <w:rPr>
          <w:rStyle w:val="Refdecomentario"/>
        </w:rPr>
        <w:annotationRef/>
      </w:r>
      <w:r>
        <w:t>La idea no es clara. Se contradice.</w:t>
      </w:r>
    </w:p>
  </w:comment>
  <w:comment w:id="9" w:author="Autor" w:initials="A">
    <w:p w14:paraId="4D7D709F" w14:textId="178E3087" w:rsidR="008D0989" w:rsidRDefault="008D0989">
      <w:pPr>
        <w:pStyle w:val="Textocomentario"/>
      </w:pPr>
      <w:r>
        <w:rPr>
          <w:rStyle w:val="Refdecomentario"/>
        </w:rPr>
        <w:annotationRef/>
      </w:r>
      <w:r>
        <w:t>Innecesario.</w:t>
      </w:r>
    </w:p>
  </w:comment>
  <w:comment w:id="10" w:author="Autor" w:initials="A">
    <w:p w14:paraId="477B3A6E" w14:textId="2AC83573" w:rsidR="008D0989" w:rsidRDefault="008D0989">
      <w:pPr>
        <w:pStyle w:val="Textocomentario"/>
      </w:pPr>
      <w:r>
        <w:rPr>
          <w:rStyle w:val="Refdecomentario"/>
        </w:rPr>
        <w:annotationRef/>
      </w:r>
      <w:r>
        <w:t>Innecesario.</w:t>
      </w:r>
    </w:p>
  </w:comment>
  <w:comment w:id="11" w:author="Autor" w:initials="A">
    <w:p w14:paraId="5DB74DC6" w14:textId="4800FE5F" w:rsidR="008D0989" w:rsidRDefault="008D0989">
      <w:pPr>
        <w:pStyle w:val="Textocomentario"/>
      </w:pPr>
      <w:r>
        <w:rPr>
          <w:rStyle w:val="Refdecomentario"/>
        </w:rPr>
        <w:annotationRef/>
      </w:r>
      <w:r>
        <w:t>Revisar la redacción, se puede sintetizar y ser más objetivo.</w:t>
      </w:r>
    </w:p>
  </w:comment>
  <w:comment w:id="12" w:author="Autor" w:initials="A">
    <w:p w14:paraId="692B4C2A" w14:textId="6F4FE664" w:rsidR="008D0989" w:rsidRDefault="008D0989">
      <w:pPr>
        <w:pStyle w:val="Textocomentario"/>
      </w:pPr>
      <w:r>
        <w:rPr>
          <w:rStyle w:val="Refdecomentario"/>
        </w:rPr>
        <w:annotationRef/>
      </w:r>
      <w:r>
        <w:t>Diferenciar claramente las palabras del autor de las propias.</w:t>
      </w:r>
    </w:p>
  </w:comment>
  <w:comment w:id="13" w:author="Autor" w:initials="A">
    <w:p w14:paraId="12424EF0" w14:textId="2ACDD9AE" w:rsidR="00CA127E" w:rsidRDefault="00CA127E">
      <w:pPr>
        <w:pStyle w:val="Textocomentario"/>
      </w:pPr>
      <w:r>
        <w:rPr>
          <w:rStyle w:val="Refdecomentario"/>
        </w:rPr>
        <w:annotationRef/>
      </w:r>
      <w:r>
        <w:t>Diferenciar autoría en el texto.</w:t>
      </w:r>
    </w:p>
  </w:comment>
  <w:comment w:id="14" w:author="Autor" w:initials="A">
    <w:p w14:paraId="3624A2E1" w14:textId="4DB38070" w:rsidR="00CA127E" w:rsidRDefault="00CA127E">
      <w:pPr>
        <w:pStyle w:val="Textocomentario"/>
      </w:pPr>
      <w:r>
        <w:rPr>
          <w:rStyle w:val="Refdecomentario"/>
        </w:rPr>
        <w:annotationRef/>
      </w:r>
      <w:r>
        <w:t>Esta parte es muy interesante y fundamental, es importante que sea parte del resumen.</w:t>
      </w:r>
    </w:p>
  </w:comment>
  <w:comment w:id="15" w:author="Autor" w:initials="A">
    <w:p w14:paraId="7A531962" w14:textId="5B1CB0C8" w:rsidR="00CA127E" w:rsidRDefault="00CA127E">
      <w:pPr>
        <w:pStyle w:val="Textocomentario"/>
      </w:pPr>
      <w:r>
        <w:rPr>
          <w:rStyle w:val="Refdecomentario"/>
        </w:rPr>
        <w:annotationRef/>
      </w:r>
      <w:r>
        <w:t>Estos dos párrafos están desarticulados y bien se pudieran complementar y sintetizar.</w:t>
      </w:r>
    </w:p>
  </w:comment>
  <w:comment w:id="16" w:author="Autor" w:initials="A">
    <w:p w14:paraId="76B6D8BF" w14:textId="51FAF8AB" w:rsidR="00CA127E" w:rsidRDefault="00CA127E">
      <w:pPr>
        <w:pStyle w:val="Textocomentario"/>
      </w:pPr>
      <w:r>
        <w:rPr>
          <w:rStyle w:val="Refdecomentario"/>
        </w:rPr>
        <w:annotationRef/>
      </w:r>
      <w:r>
        <w:t xml:space="preserve">Todo el párrafo es innecesario. </w:t>
      </w:r>
    </w:p>
  </w:comment>
  <w:comment w:id="18" w:author="Autor" w:initials="A">
    <w:p w14:paraId="242298A1" w14:textId="1F92AAD3" w:rsidR="00CA127E" w:rsidRDefault="00CA127E">
      <w:pPr>
        <w:pStyle w:val="Textocomentario"/>
      </w:pPr>
      <w:r>
        <w:rPr>
          <w:rStyle w:val="Refdecomentario"/>
        </w:rPr>
        <w:annotationRef/>
      </w:r>
      <w:r>
        <w:t>Es conveniente iniciar el apartado con palabras propias que indiquen hacia donde se llevó la investigación y luego reforzar con los autores. Importante también revisar la redacción.</w:t>
      </w:r>
    </w:p>
  </w:comment>
  <w:comment w:id="19" w:author="Autor" w:initials="A">
    <w:p w14:paraId="58B01AF2" w14:textId="630B8D7D" w:rsidR="00CA127E" w:rsidRDefault="00CA127E">
      <w:pPr>
        <w:pStyle w:val="Textocomentario"/>
      </w:pPr>
      <w:r>
        <w:rPr>
          <w:rStyle w:val="Refdecomentario"/>
        </w:rPr>
        <w:annotationRef/>
      </w:r>
      <w:r>
        <w:t>Este párrafo y los dos siguientes quedan como ideas sueltas, parece más pedazos de un marco conceptual, conviene ligar las ideas y usarlas como refuerzo de las propias.</w:t>
      </w:r>
    </w:p>
  </w:comment>
  <w:comment w:id="20" w:author="Autor" w:initials="A">
    <w:p w14:paraId="6F502098" w14:textId="3B86A8D7" w:rsidR="0019657B" w:rsidRDefault="0019657B">
      <w:pPr>
        <w:pStyle w:val="Textocomentario"/>
      </w:pPr>
      <w:r>
        <w:rPr>
          <w:rStyle w:val="Refdecomentario"/>
        </w:rPr>
        <w:annotationRef/>
      </w:r>
      <w:r>
        <w:t>Es una pregunta muy interesante que uno como lector esperaría se contestara con parte de lo encontrado en el estudio realizado, las ideas de otros autores y en dos párrafos tan grandes no resultan convenientes.</w:t>
      </w:r>
    </w:p>
  </w:comment>
  <w:comment w:id="22" w:author="Autor" w:initials="A">
    <w:p w14:paraId="380808C9" w14:textId="7C8BA133" w:rsidR="0019657B" w:rsidRDefault="0019657B">
      <w:pPr>
        <w:pStyle w:val="Textocomentario"/>
      </w:pPr>
      <w:r>
        <w:rPr>
          <w:rStyle w:val="Refdecomentario"/>
        </w:rPr>
        <w:annotationRef/>
      </w:r>
      <w:r>
        <w:t>A esto me refiero cuando se toma de otro autor texto y no se aporta con lo encontrado en la investigación que da pie al escrito.</w:t>
      </w:r>
    </w:p>
  </w:comment>
  <w:comment w:id="24" w:author="Autor" w:initials="A">
    <w:p w14:paraId="13B42481" w14:textId="7A38855B" w:rsidR="0019657B" w:rsidRDefault="0019657B">
      <w:pPr>
        <w:pStyle w:val="Textocomentario"/>
      </w:pPr>
      <w:r>
        <w:rPr>
          <w:rStyle w:val="Refdecomentario"/>
        </w:rPr>
        <w:annotationRef/>
      </w:r>
      <w:r>
        <w:t>Falta referencia.</w:t>
      </w:r>
    </w:p>
  </w:comment>
  <w:comment w:id="25" w:author="Autor" w:initials="A">
    <w:p w14:paraId="6560F622" w14:textId="360BF14C" w:rsidR="0019657B" w:rsidRDefault="0019657B">
      <w:pPr>
        <w:pStyle w:val="Textocomentario"/>
      </w:pPr>
      <w:r>
        <w:rPr>
          <w:rStyle w:val="Refdecomentario"/>
        </w:rPr>
        <w:annotationRef/>
      </w:r>
      <w:r>
        <w:t>Diferenciar de forma clara cada lo que dice cada autor.</w:t>
      </w:r>
    </w:p>
  </w:comment>
  <w:comment w:id="26" w:author="Autor" w:initials="A">
    <w:p w14:paraId="5E6199D1" w14:textId="77777777" w:rsidR="0019657B" w:rsidRDefault="0019657B">
      <w:pPr>
        <w:pStyle w:val="Textocomentario"/>
      </w:pPr>
      <w:r>
        <w:rPr>
          <w:rStyle w:val="Refdecomentario"/>
        </w:rPr>
        <w:annotationRef/>
      </w:r>
      <w:r>
        <w:t>Aquí hay un brinco entre un estudio de Hernández y entrar de lleno al tema. Es conveniente separar e introducir de mejor manera el párrafo.</w:t>
      </w:r>
    </w:p>
    <w:p w14:paraId="0334D3BE" w14:textId="313521E2" w:rsidR="0019657B" w:rsidRDefault="0019657B">
      <w:pPr>
        <w:pStyle w:val="Textocomentario"/>
      </w:pPr>
    </w:p>
  </w:comment>
  <w:comment w:id="27" w:author="Autor" w:initials="A">
    <w:p w14:paraId="24923927" w14:textId="33213999" w:rsidR="00F51751" w:rsidRDefault="00F51751">
      <w:pPr>
        <w:pStyle w:val="Textocomentario"/>
      </w:pPr>
      <w:r>
        <w:rPr>
          <w:rStyle w:val="Refdecomentario"/>
        </w:rPr>
        <w:annotationRef/>
      </w:r>
      <w:r>
        <w:t>¿Qué tipo de espacios? ¿Qué cualidades arquitectónicas permiten generar esas respuestas?</w:t>
      </w:r>
    </w:p>
  </w:comment>
  <w:comment w:id="29" w:author="Autor" w:initials="A">
    <w:p w14:paraId="1CAB62A6" w14:textId="5C46C1EF" w:rsidR="00F51751" w:rsidRDefault="00F51751">
      <w:pPr>
        <w:pStyle w:val="Textocomentario"/>
      </w:pPr>
      <w:r>
        <w:rPr>
          <w:rStyle w:val="Refdecomentario"/>
        </w:rPr>
        <w:annotationRef/>
      </w:r>
      <w:r>
        <w:t>El término es muy subjetivo y es conveniente que las conclusiones señalen con claridad cuáles son las condiciones de habitabilidad que se dieron, ser más objetivo al describir cómo son los espacios en los que los habitadores se desenvolvieron y cómo se vinculan estos con la resiliencia de la que se habla al inicio del texto.</w:t>
      </w:r>
    </w:p>
  </w:comment>
  <w:comment w:id="30" w:author="Autor" w:initials="A">
    <w:p w14:paraId="76037570" w14:textId="1FDAFF1B" w:rsidR="00F51751" w:rsidRDefault="00F51751">
      <w:pPr>
        <w:pStyle w:val="Textocomentario"/>
      </w:pPr>
      <w:r>
        <w:rPr>
          <w:rStyle w:val="Refdecomentario"/>
        </w:rPr>
        <w:annotationRef/>
      </w:r>
      <w:r>
        <w:t>Es un tema interesante, sin embargo, la forma en la que está redactado (como reporte de investigación) le resta interés al lector, se debe considerar la Convocatoria para escribir hacia ese tipo de lector.</w:t>
      </w:r>
    </w:p>
    <w:p w14:paraId="218ACB30" w14:textId="08350B69" w:rsidR="00F51751" w:rsidRDefault="00F51751">
      <w:pPr>
        <w:pStyle w:val="Textocomentario"/>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0C11E1C" w15:done="0"/>
  <w15:commentEx w15:paraId="13F56F83" w15:done="0"/>
  <w15:commentEx w15:paraId="3DB9DF2A" w15:done="0"/>
  <w15:commentEx w15:paraId="06DB7F60" w15:done="0"/>
  <w15:commentEx w15:paraId="259DD687" w15:done="0"/>
  <w15:commentEx w15:paraId="6F320F4D" w15:done="0"/>
  <w15:commentEx w15:paraId="4D7D709F" w15:done="0"/>
  <w15:commentEx w15:paraId="477B3A6E" w15:done="0"/>
  <w15:commentEx w15:paraId="5DB74DC6" w15:done="0"/>
  <w15:commentEx w15:paraId="692B4C2A" w15:done="0"/>
  <w15:commentEx w15:paraId="12424EF0" w15:done="0"/>
  <w15:commentEx w15:paraId="3624A2E1" w15:done="0"/>
  <w15:commentEx w15:paraId="7A531962" w15:done="0"/>
  <w15:commentEx w15:paraId="76B6D8BF" w15:done="0"/>
  <w15:commentEx w15:paraId="242298A1" w15:done="0"/>
  <w15:commentEx w15:paraId="58B01AF2" w15:done="0"/>
  <w15:commentEx w15:paraId="6F502098" w15:done="0"/>
  <w15:commentEx w15:paraId="380808C9" w15:done="0"/>
  <w15:commentEx w15:paraId="13B42481" w15:done="0"/>
  <w15:commentEx w15:paraId="6560F622" w15:done="0"/>
  <w15:commentEx w15:paraId="0334D3BE" w15:done="0"/>
  <w15:commentEx w15:paraId="24923927" w15:done="0"/>
  <w15:commentEx w15:paraId="1CAB62A6" w15:done="0"/>
  <w15:commentEx w15:paraId="218ACB3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EE452" w14:textId="77777777" w:rsidR="00507BD6" w:rsidRDefault="00507BD6">
      <w:pPr>
        <w:spacing w:line="240" w:lineRule="auto"/>
      </w:pPr>
      <w:r>
        <w:separator/>
      </w:r>
    </w:p>
  </w:endnote>
  <w:endnote w:type="continuationSeparator" w:id="0">
    <w:p w14:paraId="45C1753C" w14:textId="77777777" w:rsidR="00507BD6" w:rsidRDefault="00507B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683739" w14:textId="77777777" w:rsidR="00507BD6" w:rsidRDefault="00507BD6">
      <w:pPr>
        <w:spacing w:line="240" w:lineRule="auto"/>
      </w:pPr>
      <w:r>
        <w:separator/>
      </w:r>
    </w:p>
  </w:footnote>
  <w:footnote w:type="continuationSeparator" w:id="0">
    <w:p w14:paraId="77025CFA" w14:textId="77777777" w:rsidR="00507BD6" w:rsidRDefault="00507B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63A36" w14:textId="77777777" w:rsidR="00570E9B" w:rsidRDefault="00570E9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F1901"/>
    <w:multiLevelType w:val="multilevel"/>
    <w:tmpl w:val="CFF20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A21B21"/>
    <w:multiLevelType w:val="multilevel"/>
    <w:tmpl w:val="124E9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F57996"/>
    <w:multiLevelType w:val="multilevel"/>
    <w:tmpl w:val="6024D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E9B"/>
    <w:rsid w:val="000B14DB"/>
    <w:rsid w:val="0019657B"/>
    <w:rsid w:val="0023311F"/>
    <w:rsid w:val="003462F6"/>
    <w:rsid w:val="00507BD6"/>
    <w:rsid w:val="00570E9B"/>
    <w:rsid w:val="00584C51"/>
    <w:rsid w:val="00616911"/>
    <w:rsid w:val="00746E0F"/>
    <w:rsid w:val="007C1498"/>
    <w:rsid w:val="00802DF2"/>
    <w:rsid w:val="008D0989"/>
    <w:rsid w:val="00A33F02"/>
    <w:rsid w:val="00AD4751"/>
    <w:rsid w:val="00C53733"/>
    <w:rsid w:val="00CA127E"/>
    <w:rsid w:val="00D60EEE"/>
    <w:rsid w:val="00E91F90"/>
    <w:rsid w:val="00EC6F9F"/>
    <w:rsid w:val="00F51751"/>
    <w:rsid w:val="00FA5485"/>
    <w:rsid w:val="00FD484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584C51"/>
    <w:rPr>
      <w:b/>
      <w:bCs/>
    </w:rPr>
  </w:style>
  <w:style w:type="character" w:customStyle="1" w:styleId="AsuntodelcomentarioCar">
    <w:name w:val="Asunto del comentario Car"/>
    <w:basedOn w:val="TextocomentarioCar"/>
    <w:link w:val="Asuntodelcomentario"/>
    <w:uiPriority w:val="99"/>
    <w:semiHidden/>
    <w:rsid w:val="00584C51"/>
    <w:rPr>
      <w:b/>
      <w:bCs/>
      <w:sz w:val="20"/>
      <w:szCs w:val="20"/>
    </w:rPr>
  </w:style>
  <w:style w:type="paragraph" w:styleId="Textodeglobo">
    <w:name w:val="Balloon Text"/>
    <w:basedOn w:val="Normal"/>
    <w:link w:val="TextodegloboCar"/>
    <w:uiPriority w:val="99"/>
    <w:semiHidden/>
    <w:unhideWhenUsed/>
    <w:rsid w:val="00584C5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4C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864038">
      <w:bodyDiv w:val="1"/>
      <w:marLeft w:val="0"/>
      <w:marRight w:val="0"/>
      <w:marTop w:val="0"/>
      <w:marBottom w:val="0"/>
      <w:divBdr>
        <w:top w:val="none" w:sz="0" w:space="0" w:color="auto"/>
        <w:left w:val="none" w:sz="0" w:space="0" w:color="auto"/>
        <w:bottom w:val="none" w:sz="0" w:space="0" w:color="auto"/>
        <w:right w:val="none" w:sz="0" w:space="0" w:color="auto"/>
      </w:divBdr>
    </w:div>
    <w:div w:id="1113209772">
      <w:bodyDiv w:val="1"/>
      <w:marLeft w:val="0"/>
      <w:marRight w:val="0"/>
      <w:marTop w:val="0"/>
      <w:marBottom w:val="0"/>
      <w:divBdr>
        <w:top w:val="none" w:sz="0" w:space="0" w:color="auto"/>
        <w:left w:val="none" w:sz="0" w:space="0" w:color="auto"/>
        <w:bottom w:val="none" w:sz="0" w:space="0" w:color="auto"/>
        <w:right w:val="none" w:sz="0" w:space="0" w:color="auto"/>
      </w:divBdr>
    </w:div>
    <w:div w:id="1429809335">
      <w:bodyDiv w:val="1"/>
      <w:marLeft w:val="0"/>
      <w:marRight w:val="0"/>
      <w:marTop w:val="0"/>
      <w:marBottom w:val="0"/>
      <w:divBdr>
        <w:top w:val="none" w:sz="0" w:space="0" w:color="auto"/>
        <w:left w:val="none" w:sz="0" w:space="0" w:color="auto"/>
        <w:bottom w:val="none" w:sz="0" w:space="0" w:color="auto"/>
        <w:right w:val="none" w:sz="0" w:space="0" w:color="auto"/>
      </w:divBdr>
    </w:div>
    <w:div w:id="1637494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n9.cl/rtihi" TargetMode="External"/><Relationship Id="rId18" Type="http://schemas.openxmlformats.org/officeDocument/2006/relationships/hyperlink" Target="http://scielo.sld.cu/scielo.php?script=sci_arttext&amp;pid=S1029-30432020000300578&amp;lng=es&amp;nrm=is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bc.com/mundo/noticias-52009140" TargetMode="External"/><Relationship Id="rId17" Type="http://schemas.openxmlformats.org/officeDocument/2006/relationships/hyperlink" Target="https://doi.org/10.36800/madgu.v6i10.87" TargetMode="External"/><Relationship Id="rId2" Type="http://schemas.openxmlformats.org/officeDocument/2006/relationships/numbering" Target="numbering.xml"/><Relationship Id="rId16" Type="http://schemas.openxmlformats.org/officeDocument/2006/relationships/hyperlink" Target="http://www.redalyc.org/articulo.oa?id=49611942024"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scs.2022.104326" TargetMode="External"/><Relationship Id="rId5" Type="http://schemas.openxmlformats.org/officeDocument/2006/relationships/webSettings" Target="webSettings.xml"/><Relationship Id="rId15" Type="http://schemas.openxmlformats.org/officeDocument/2006/relationships/hyperlink" Target="https://ciberindex.com/index.php/pd/article/view/e32066o" TargetMode="External"/><Relationship Id="rId10" Type="http://schemas.openxmlformats.org/officeDocument/2006/relationships/image" Target="media/image1.jpg"/><Relationship Id="rId19" Type="http://schemas.openxmlformats.org/officeDocument/2006/relationships/hyperlink" Target="https://doi.org/10.3390/ijerph1813699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07/978-3-031-26793-2_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Ehquidad: La Revista Internacional de Políticas de Bienestar y Trabajo Social</b:JournalName>
    <b:Pages>77-112</b:Pages>
    <b:StandardNumber>https://doi.org/10.15257/ehquidad.2021.0004</b:StandardNumber>
    <b:Title>Habitabilidad de la vivienda en tiem pos de COVID-19 en México. El caso de Culiacán</b:Title>
    <b:URL>https://www.redalyc.org/articulo.oa?id=672174450004</b:URL>
    <b:Volume>15</b:Volume>
    <b:Year>2021</b:Year>
    <b:Gdcea>{"AccessedType":"Website"}</b:Gdcea>
    <b:Author>
      <b:Author>
        <b:NameList>
          <b:Person>
            <b:First>Mercedes</b:First>
            <b:Last>Verdugo López</b:Last>
          </b:Person>
        </b:NameList>
      </b:Author>
    </b:Author>
  </b:Source>
  <b:Source>
    <b:Tag>source2</b:Tag>
    <b:SourceType>JournalArticle</b:SourceType>
    <b:JournalName>Revista INVI</b:JournalName>
    <b:Pages>352-383</b:Pages>
    <b:StandardNumber>http://dx.doi.org/10.4067/S0718-83582021000200352</b:StandardNumber>
    <b:Title>Habitabilidad de la vivienda mínima y las ciudades en pandemia mundial: COVID-19 en Mérida, México</b:Title>
    <b:Volume>36</b:Volume>
    <b:Year>2021</b:Year>
    <b:Gdcea>{"AccessedType":"Print"}</b:Gdcea>
    <b:Author>
      <b:Author>
        <b:NameList>
          <b:Person>
            <b:First>María</b:First>
            <b:Middle>Elena</b:Middle>
            <b:Last>Torres Pérez</b:Last>
          </b:Person>
        </b:NameList>
      </b:Author>
    </b:Author>
  </b:Source>
  <b:Source>
    <b:Tag>source3</b:Tag>
    <b:SourceType>JournalArticle</b:SourceType>
    <b:Issue>32</b:Issue>
    <b:JournalName>Paraninfo Digital</b:JournalName>
    <b:Title>Proyecto sobre confinamiento social (covid-19), vivienda y habitabilidad [COVID-HAB]</b:Title>
    <b:URL>https://ciberindex.com/index.php/pd/article/view/e32066o</b:URL>
    <b:Volume>14</b:Volume>
    <b:Year>2020</b:Year>
    <b:Gdcea>{"AccessedType":"Website"}</b:Gdcea>
    <b:Author>
      <b:Author>
        <b:NameList>
          <b:Person>
            <b:First>Teresa</b:First>
            <b:Last>Cuerdo Vilches</b:Last>
          </b:Person>
          <b:Person>
            <b:First>Ignacio</b:First>
            <b:Middle>Oteiza</b:Middle>
            <b:Last>San José</b:Last>
          </b:Person>
          <b:Person>
            <b:First>Miguel</b:First>
            <b:Middle>Ángel</b:Middle>
            <b:Last>Navas Martín</b:Last>
          </b:Person>
        </b:NameList>
      </b:Author>
    </b:Author>
  </b:Source>
  <b:Source>
    <b:Tag>source4</b:Tag>
    <b:SourceType>JournalArticle</b:SourceType>
    <b:JournalName>Espiral (Guadalajara)</b:JournalName>
    <b:Pages>78-79</b:Pages>
    <b:StandardNumber>https://doi.org/10.32870/eees.v28i78-79.7209</b:StandardNumber>
    <b:Title>Tijuana ante el confinamiento social impuesto por la COVID 19: habitabilidad de las viviendas, entorno urbano y condiciones económicas de los hogares</b:Title>
    <b:Volume>27</b:Volume>
    <b:Year>2020</b:Year>
    <b:Gdcea>{"AccessedType":"Website"}</b:Gdcea>
    <b:Author>
      <b:Author>
        <b:NameList>
          <b:Person>
            <b:First>Gerardo</b:First>
            <b:Last>Ordoñez Barba</b:Last>
          </b:Person>
        </b:NameList>
      </b:Author>
    </b:Author>
  </b:Source>
  <b:Source>
    <b:Tag>source5</b:Tag>
    <b:SourceType>JournalArticle</b:SourceType>
    <b:JournalName>Topofilia</b:JournalName>
    <b:Pages>204-216</b:Pages>
    <b:Title>La adaptabilidad de la habitabilidad COVID-19</b:Title>
    <b:URL>https://topofilia.buap.mx/index.php/topofilia/article/view/176</b:URL>
    <b:Volume>22</b:Volume>
    <b:Year>2021</b:Year>
    <b:Gdcea>{"AccessedType":"Website"}</b:Gdcea>
    <b:Author>
      <b:Author>
        <b:NameList>
          <b:Person>
            <b:First>Raquel</b:First>
            <b:Last>Melchor Asta</b:Last>
          </b:Person>
        </b:NameList>
      </b:Author>
    </b:Author>
  </b:Source>
  <b:Source>
    <b:Tag>source6</b:Tag>
    <b:SourceType>JournalArticle</b:SourceType>
    <b:JournalName>Revista Española de Geriatría y Gerontología</b:JournalName>
    <b:Pages>264-268</b:Pages>
    <b:StandardNumber>https://doi.org/10.1016/j.regg.2022.08.002</b:StandardNumber>
    <b:Title>Resiliencia en las personas mayores durante la primera ola pandémica de la COVID-19 en Chile: una perspectiva desde los determinantes sociales de la salud</b:Title>
    <b:Volume>57</b:Volume>
    <b:Year>2024</b:Year>
    <b:Gdcea>{"AccessedType":"Website","Season":"Issue 5"}</b:Gdcea>
    <b:Author>
      <b:Author>
        <b:NameList>
          <b:Person>
            <b:First>Dafna</b:First>
            <b:Last>Oppenheimer-Lewin</b:Last>
          </b:Person>
          <b:Person>
            <b:First>Maritza</b:First>
            <b:Last>Ortega-Palavecinos</b:Last>
          </b:Person>
          <b:Person>
            <b:First>Rodrigo</b:First>
            <b:Last>Núñez-Cortés</b:Last>
          </b:Person>
        </b:NameList>
      </b:Author>
    </b:Author>
  </b:Source>
  <b:Source>
    <b:Tag>source7</b:Tag>
    <b:SourceType>DocumentFromInternetSite</b:SourceType>
    <b:Day>21</b:Day>
    <b:DayAccessed>18</b:DayAccessed>
    <b:Month>July</b:Month>
    <b:MonthAccessed>September</b:MonthAccessed>
    <b:Title>Resiliencia y salud mental en tiempos de COVID</b:Title>
    <b:URL>https://digibuo.uniovi.es/dspace/handle/10651/63149</b:URL>
    <b:InternetSiteTitle>RUO Principal</b:InternetSiteTitle>
    <b:Year>2021</b:Year>
    <b:YearAccessed>2024</b:YearAccessed>
    <b:Gdcea>{"AccessedType":"Website"}</b:Gdcea>
    <b:Author>
      <b:Author>
        <b:NameList>
          <b:Person>
            <b:First>José</b:First>
            <b:Last>Pardo González</b:Last>
          </b:Person>
          <b:Person>
            <b:First>Esteban</b:First>
            <b:Last>Agulló Tomás</b:Last>
          </b:Person>
        </b:NameList>
      </b:Author>
    </b:Author>
  </b:Source>
  <b:Source>
    <b:Tag>source8</b:Tag>
    <b:SourceType>JournalArticle</b:SourceType>
    <b:JournalName>Sustainable Cities and Society</b:JournalName>
    <b:StandardNumber>https://doi.org/10.1016/j.scs.2022.104326</b:StandardNumber>
    <b:Title>Towards building resilient cities to pandemics: A review of COVID-19 literature</b:Title>
    <b:URL>https://www.sciencedirect.com/science/article/pii/S2210670722006308</b:URL>
    <b:Volume>89</b:Volume>
    <b:Year>2023</b:Year>
    <b:Gdcea>{"AccessedType":"Website"}</b:Gdcea>
    <b:Author>
      <b:Author>
        <b:NameList>
          <b:Person>
            <b:First>Melika</b:First>
            <b:Last>Amirzadeh</b:Last>
          </b:Person>
          <b:Person>
            <b:First>Saeideh</b:First>
            <b:Last>Sobhaninia</b:Last>
          </b:Person>
          <b:Person>
            <b:First>Stephen</b:First>
            <b:Middle>T</b:Middle>
            <b:Last>Buckman</b:Last>
          </b:Person>
          <b:Person>
            <b:First>Ayyoob</b:First>
            <b:Last>Sharifi</b:Last>
          </b:Person>
        </b:NameList>
      </b:Author>
    </b:Author>
  </b:Source>
  <b:Source>
    <b:Tag>source9</b:Tag>
    <b:SourceType>JournalArticle</b:SourceType>
    <b:Issue>10</b:Issue>
    <b:JournalName>MADGU. Mundo, Arquitectura, Diseño Gráfico y Urbanismo</b:JournalName>
    <b:Pages>33</b:Pages>
    <b:StandardNumber>https://doi.org/10.36800/madgu.v6i10.87</b:StandardNumber>
    <b:Title>Una pandemia no apta para niños. La vivienda en México como lugar de confinamiento</b:Title>
    <b:Volume>5</b:Volume>
    <b:Year>2022</b:Year>
    <b:Gdcea>{"AccessedType":"Print"}</b:Gdcea>
    <b:Author>
      <b:Author>
        <b:NameList>
          <b:Person>
            <b:First>Káteri</b:First>
            <b:Middle>Samantha</b:Middle>
            <b:Last>Hernández Pérez</b:Last>
          </b:Person>
        </b:NameList>
      </b:Author>
    </b:Author>
  </b:Source>
  <b:Source>
    <b:Tag>source10</b:Tag>
    <b:SourceType>Misc</b:SourceType>
    <b:Day>30</b:Day>
    <b:DayAccessed>19</b:DayAccessed>
    <b:Medium>University of Brighton Symposium October 3–16, 2022</b:Medium>
    <b:Month>April</b:Month>
    <b:MonthAccessed>September</b:MonthAccessed>
    <b:Title>What to Make of the Appropriation of Autopoiesis in Architecture?</b:Title>
    <b:URL>https://rsdsymposium.org/what-to-make-of-the-appropriation-of-autopoiesis-in-architecture</b:URL>
    <b:Year>2023</b:Year>
    <b:YearAccessed>2024</b:YearAccessed>
    <b:Gdcea>{"ContainerTitle":"RSD TI","AccessedType":"Website"}</b:Gdcea>
    <b:Author>
      <b:Author>
        <b:NameList>
          <b:Person>
            <b:First>Guillermo</b:First>
            <b:Last>Sánchez Sotés</b:Last>
          </b:Person>
          <b:Person>
            <b:First>Christiane</b:First>
            <b:Middle>M</b:Middle>
            <b:Last>Herr</b:Last>
          </b:Person>
          <b:Person>
            <b:First>Thomas</b:First>
            <b:Last>Fischer</b:Last>
          </b:Person>
        </b:NameList>
      </b:Author>
    </b:Author>
  </b:Source>
  <b:Source>
    <b:Tag>source11</b:Tag>
    <b:SourceType>Book</b:SourceType>
    <b:Publisher>Springer Netherlands</b:Publisher>
    <b:Title>Autopoiesis and Cognition: The Realization of the Living</b:Title>
    <b:Year>1980</b:Year>
    <b:Gdcea>{"AccessedType":"OnlineDatabase"}</b:Gdcea>
    <b:Author>
      <b:Author>
        <b:NameList>
          <b:Person>
            <b:First>H.R.</b:First>
            <b:Last>Maturana</b:Last>
          </b:Person>
          <b:Person>
            <b:First>F.</b:First>
            <b:Middle>J.</b:Middle>
            <b:Last>Varela</b:Last>
          </b:Person>
        </b:NameList>
      </b:Author>
    </b:Author>
  </b:Source>
  <b:Source>
    <b:Tag>source12</b:Tag>
    <b:SourceType>JournalArticle</b:SourceType>
    <b:JournalName>Cinta de Moebio: Revista de Epistemología de Ciencias Sociales</b:JournalName>
    <b:Pages>175-193</b:Pages>
    <b:Title>La teoría de la autopoiesis y su aplicación en las ciencias sociales</b:Title>
    <b:URL>https://www.moebio.uchile.cl/12/gibert.html</b:URL>
    <b:Volume>12</b:Volume>
    <b:Year>2001</b:Year>
    <b:Gdcea>{"AccessedType":"Website"}</b:Gdcea>
    <b:Author>
      <b:Author>
        <b:NameList>
          <b:Person>
            <b:First>Jorge</b:First>
            <b:Last>Gibert-Galassi</b:Last>
          </b:Person>
          <b:Person>
            <b:First>Beatriz</b:First>
            <b:Last>Correa</b:Last>
          </b:Person>
        </b:NameList>
      </b:Author>
    </b:Author>
  </b:Source>
  <b:Source>
    <b:Tag>source13</b:Tag>
    <b:SourceType>JournalArticle</b:SourceType>
    <b:Day>16</b:Day>
    <b:JournalName>Praxis Filosófica</b:JournalName>
    <b:Month>enero</b:Month>
    <b:StandardNumber>DOI: 10.25100/pfilosofica</b:StandardNumber>
    <b:Title>Reflexiones en torno a los usos de autopoiesis en la filosofía comtemporánea</b:Title>
    <b:URL>https://praxisfilosofica.univalle.edu.co/index.php/praxis/article/view/13186</b:URL>
    <b:Volume>58</b:Volume>
    <b:Year>2024</b:Year>
    <b:Gdcea>{"AccessedType":"Website"}</b:Gdcea>
    <b:Author>
      <b:Author>
        <b:NameList>
          <b:Person>
            <b:First>Tomás</b:First>
            <b:Last>Ramos Mejía</b:Last>
          </b:Person>
          <b:Person>
            <b:First>Emiliano</b:First>
            <b:Last>Jacky Rosell</b:Last>
          </b:Person>
          <b:Person>
            <b:First>Celina</b:First>
            <b:Last>Penchansky</b:Last>
          </b:Person>
        </b:NameList>
      </b:Author>
    </b:Author>
  </b:Source>
  <b:Source>
    <b:Tag>source14</b:Tag>
    <b:SourceType>BookSection</b:SourceType>
    <b:BookTitle>La pandemia de la COVID-19 y sus efectos colaterales</b:BookTitle>
    <b:Pages>11-17</b:Pages>
    <b:Publisher>Universidad de Guanajuato</b:Publisher>
    <b:StandardNumber>ISBN: 978-607-441-897-2</b:StandardNumber>
    <b:Title>Introducción</b:Title>
    <b:Year>2021</b:Year>
    <b:Gdcea>{"AccessedType":"Website"}</b:Gdcea>
    <b:Author>
      <b:Author>
        <b:NameList>
          <b:Person>
            <b:First>Nadia</b:First>
            <b:Middle>Yanet</b:Middle>
            <b:Last>Cortés Álvarez</b:Last>
          </b:Person>
        </b:NameList>
      </b:Author>
    </b:Author>
  </b:Source>
  <b:Source>
    <b:Tag>source15</b:Tag>
    <b:SourceType>JournalArticle</b:SourceType>
    <b:JournalName>Educere</b:JournalName>
    <b:Pages>22-24</b:Pages>
    <b:StandardNumber>ISSN: 1316-4910</b:StandardNumber>
    <b:Title>El paradigma de la complejidad en la investigación social</b:Title>
    <b:Volume>8, núm 24</b:Volume>
    <b:Year>2004</b:Year>
    <b:Gdcea>{"AccessedType":"Print"}</b:Gdcea>
    <b:Author>
      <b:Author>
        <b:NameList>
          <b:Person>
            <b:First>Iluska</b:First>
            <b:Middle>Coromoto</b:Middle>
            <b:Last>Salazar</b:Last>
          </b:Person>
        </b:NameList>
      </b:Author>
    </b:Author>
  </b:Source>
  <b:Source>
    <b:Tag>source16</b:Tag>
    <b:SourceType>BookSection</b:SourceType>
    <b:BookTitle>The Unexpected in Action: Ethics, Rationality, and Skills</b:BookTitle>
    <b:Publisher>Springer Nature Switzerland</b:Publisher>
    <b:StandardNumber>https://doi.org/10.1007/978-3-031-26793-2_4</b:StandardNumber>
    <b:Title>Theory and History in the Human and Social Sciences</b:Title>
    <b:Year>2023</b:Year>
    <b:Gdcea>{"AccessedType":"Website"}</b:Gdcea>
    <b:Author>
      <b:Author>
        <b:NameList>
          <b:Person>
            <b:First>Antonio</b:First>
            <b:Last>Cocozza</b:Last>
          </b:Person>
        </b:NameList>
      </b:Author>
    </b:Author>
  </b:Source>
  <b:Source>
    <b:Tag>source17</b:Tag>
    <b:SourceType>BookSection</b:SourceType>
    <b:BookTitle>Movilidad, espacio y formas de exclusión en las ciudades</b:BookTitle>
    <b:Pages>63-85</b:Pages>
    <b:Publisher>Universidad de Guadalajara, Centro Universitario de Arte, Arquitectura y Diseño</b:Publisher>
    <b:Title>Aproximación teórica de la vinculación sobre vivienda urbana y salud</b:Title>
    <b:Year>2021</b:Year>
    <b:Gdcea>{"AccessedType":"Website","NamelistBookEditors":[{"FirstName":"Elizabeth","LastName":"Rivera Borrayo"},{"FirstName":"Adolfo","LastName":"Narváez Tijerina","MiddleName":"Benito"},{"FirstName":"María","LastName":"Pérez Bourzac","MiddleName":"Teresa"}]}</b:Gdcea>
    <b:Author>
      <b:Author>
        <b:NameList>
          <b:Person>
            <b:First>Káteri</b:First>
            <b:Middle>Samantha</b:Middle>
            <b:Last>Hérnandez Pérez</b:Last>
          </b:Person>
          <b:Person>
            <b:First>Gerardo</b:First>
            <b:Last>Vázquez Rodríguez</b:Last>
          </b:Person>
        </b:NameList>
      </b:Author>
    </b:Author>
  </b:Source>
  <b:Source>
    <b:Tag>source18</b:Tag>
    <b:SourceType>BookSection</b:SourceType>
    <b:BookTitle>Retos de las ciudades Reflexión desde el ODS 11</b:BookTitle>
    <b:Pages>57-86</b:Pages>
    <b:Publisher>Universidad de Guadalajara</b:Publisher>
    <b:StandardNumber>ISBN E-Book 978-607-547-781-7</b:StandardNumber>
    <b:Title>Análisis de la calidad de vida y sus efectos en la epigenética humana desde el enfoque del Desarrollo Sostenible</b:Title>
    <b:Year>2019</b:Year>
    <b:Gdcea>{"AccessedType":"Website","NamelistBookEditors":[{"FirstName":"Nora","LastName":"Rivera Herrera","MiddleName":"Livia"},{"FirstName":"Lorena","LastName":"Ramírez Barragán","MiddleName":"Alejandra"}]}</b:Gdcea>
    <b:Author>
      <b:Author>
        <b:NameList>
          <b:Person>
            <b:First>Káteri</b:First>
            <b:Middle>Samantha</b:Middle>
            <b:Last>Hernández Pérez</b:Last>
          </b:Person>
          <b:Person>
            <b:First>Nora</b:First>
            <b:Middle>Livia</b:Middle>
            <b:Last>Rivera Herrera</b:Last>
          </b:Person>
        </b:NameList>
      </b:Author>
    </b:Author>
  </b:Source>
  <b:Source>
    <b:Tag>source19</b:Tag>
    <b:SourceType>JournalArticle</b:SourceType>
    <b:JournalName>Red de Revistas Científicas de América Latina, el Caribe, España y Portugal</b:JournalName>
    <b:Pages>243 - 245</b:Pages>
    <b:StandardNumber>http://www.redalyc.org/articulo.oa?id=49611942024</b:StandardNumber>
    <b:Title>La teoría de la complejidad</b:Title>
    <b:Volume>76, núm 157</b:Volume>
    <b:Year>2009</b:Year>
    <b:Gdcea>{"AccessedType":"Print"}</b:Gdcea>
    <b:Author>
      <b:Author>
        <b:NameList>
          <b:Person>
            <b:First>Joaquín</b:First>
            <b:Last>González</b:Last>
          </b:Person>
        </b:NameList>
      </b:Author>
    </b:Author>
  </b:Source>
  <b:Source>
    <b:Tag>source20</b:Tag>
    <b:SourceType>Book</b:SourceType>
    <b:Edition>Labýrinthos editores</b:Edition>
    <b:StandardNumber>ISBN: 978-607-99722-5-7</b:StandardNumber>
    <b:Title>Diseño y complejidad Utopías, ideales y paradigmas</b:Title>
    <b:Year>2022</b:Year>
    <b:Gdcea>{"AccessedType":"Print"}</b:Gdcea>
    <b:Author>
      <b:Editor>
        <b:NameList>
          <b:Person>
            <b:First>Gerardo</b:First>
            <b:Last>Vázquez Rodríguez</b:Last>
          </b:Person>
        </b:NameList>
      </b:Editor>
    </b:Author>
  </b:Source>
  <b:Source>
    <b:Tag>source21</b:Tag>
    <b:SourceType>Book</b:SourceType>
    <b:Publisher>Pantheon Books</b:Publisher>
    <b:Title>Housing by People: Towards Autonomy in Building Environments</b:Title>
    <b:Year>1977</b:Year>
    <b:Gdcea>{"AccessedType":"Print"}</b:Gdcea>
    <b:Author>
      <b:Author>
        <b:NameList>
          <b:Person>
            <b:First>John F.</b:First>
            <b:Middle>C.</b:Middle>
            <b:Last>Turner</b:Last>
          </b:Person>
        </b:NameList>
      </b:Author>
    </b:Author>
  </b:Source>
  <b:Source>
    <b:Tag>source22</b:Tag>
    <b:SourceType>Book</b:SourceType>
    <b:Publisher>Penguin Random House LLC</b:Publisher>
    <b:Title>The Structure of the Ordinary: Form and Control in the Built Environment</b:Title>
    <b:Year>2000</b:Year>
    <b:Gdcea>{"AccessedType":"Print"}</b:Gdcea>
    <b:Author>
      <b:Author>
        <b:NameList>
          <b:Person>
            <b:First>N.</b:First>
            <b:Middle>J.</b:Middle>
            <b:Last>Habraken</b:Last>
          </b:Person>
        </b:NameList>
      </b:Author>
      <b:Editor>
        <b:NameList>
          <b:Person>
            <b:First>N.</b:First>
            <b:Middle>J.</b:Middle>
            <b:Last>Habraken</b:Last>
          </b:Person>
          <b:Person>
            <b:First>Jonathan</b:First>
            <b:Last>Teicher</b:Last>
          </b:Person>
        </b:NameList>
      </b:Editor>
    </b:Author>
  </b:Source>
  <b:Source>
    <b:Tag>source23</b:Tag>
    <b:SourceType>DocumentFromInternetSite</b:SourceType>
    <b:Title>Autopoiesis, la unidad de una diferencia: Luhmann y Maturana</b:Title>
    <b:URL>https://www.scielo.br/j/soc/a/FGbCQNG5DBVHjSR78fTjpVP/abstract/?lang=es</b:URL>
    <b:InternetSiteTitle>SciELO</b:InternetSiteTitle>
    <b:Year>2003</b:Year>
    <b:Gdcea>{"AccessedType":"Website"}</b:Gdcea>
    <b:Author>
      <b:Author>
        <b:NameList>
          <b:Person>
            <b:First>Darío</b:First>
            <b:Last>Rodríguez M</b:Last>
          </b:Person>
          <b:Person>
            <b:First>Javier</b:First>
            <b:Last>Torres N</b:Last>
          </b:Person>
        </b:NameList>
      </b:Author>
    </b:Author>
  </b:Source>
  <b:Source>
    <b:Tag>source24</b:Tag>
    <b:SourceType>BookSection</b:SourceType>
    <b:BookTitle>Los retos en la vivienda del siglo XXI</b:BookTitle>
    <b:Pages>131-140</b:Pages>
    <b:StandardNumber>ISBN: 978-607-506-302-7</b:StandardNumber>
    <b:Title>La epigenética y la vivienda social, más allá de un espacio carente de función y forma</b:Title>
    <b:Year>2017</b:Year>
    <b:Gdcea>{"AccessedType":"Print","NamelistBookEditors":[{"FirstName":"María","LastName":"Molar Orozco","MiddleName":"Eugenia"},{"FirstName":"Rubén","LastName":"Roux Gutiérrez","MiddleName":"Salvador"}]}</b:Gdcea>
    <b:Author>
      <b:Author>
        <b:NameList>
          <b:Person>
            <b:First>Káteri</b:First>
            <b:Middle>Smantha</b:Middle>
            <b:Last>Hernández Pérez</b:Last>
          </b:Person>
          <b:Person>
            <b:First>Nora</b:First>
            <b:Middle>Livia</b:Middle>
            <b:Last>Rivera Herrera</b:Last>
          </b:Person>
        </b:NameList>
      </b:Author>
    </b:Author>
  </b:Source>
  <b:Source>
    <b:Tag>source25</b:Tag>
    <b:SourceType>Book</b:SourceType>
    <b:Publisher>Anthropos</b:Publisher>
    <b:Title>Organización y Decisión: Autopoiesis, Acción y Entendimiento Comunicativo</b:Title>
    <b:Year>1997</b:Year>
    <b:Gdcea>{"AccessedType":"Print"}</b:Gdcea>
    <b:Author>
      <b:Author>
        <b:NameList>
          <b:Person>
            <b:First>Niklas</b:First>
            <b:Last>Luhmann</b:Last>
          </b:Person>
        </b:NameList>
      </b:Author>
      <b:Editor>
        <b:NameList>
          <b:Person>
            <b:First>Darío</b:First>
            <b:Last>Rodríguez Mansilla</b:Last>
          </b:Person>
        </b:NameList>
      </b:Editor>
      <b:Translator>
        <b:NameList>
          <b:Person>
            <b:First>Darío</b:First>
            <b:Last>Rodríguez Mansilla</b:Last>
          </b:Person>
        </b:NameList>
      </b:Translator>
    </b:Author>
  </b:Source>
  <b:Source>
    <b:Tag>source26</b:Tag>
    <b:SourceType>Book</b:SourceType>
    <b:Publisher>Gedisa</b:Publisher>
    <b:Title>Los patitos feos: la resiliencia : una infancia infeliz no determina la vida</b:Title>
    <b:Year>2002</b:Year>
    <b:Gdcea>{"AccessedType":"Website"}</b:Gdcea>
    <b:Author>
      <b:Author>
        <b:NameList>
          <b:Person>
            <b:First>Boris</b:First>
            <b:Last>Cyrulnik</b:Last>
          </b:Person>
        </b:NameList>
      </b:Author>
    </b:Author>
  </b:Source>
  <b:Source>
    <b:Tag>source27</b:Tag>
    <b:SourceType>DocumentFromInternetSite</b:SourceType>
    <b:Day>27</b:Day>
    <b:DayAccessed>31</b:DayAccessed>
    <b:Month>05</b:Month>
    <b:MonthAccessed>10</b:MonthAccessed>
    <b:Title>Boris Cyrulnik, 'padre' de la resiliencia: "Lo que los médicos han visto les pone directamente en riesgo"</b:Title>
    <b:URL>https://www.elmundo.es/papel/historias/2020/05/27/5ece9d0e21efa082288b45e5.html</b:URL>
    <b:InternetSiteTitle>El Mundo</b:InternetSiteTitle>
    <b:Year>2020</b:Year>
    <b:YearAccessed>2024</b:YearAccessed>
    <b:Gdcea>{"AccessedType":"Website"}</b:Gdcea>
    <b:Author>
      <b:Author>
        <b:NameList>
          <b:Person>
            <b:First>Rebeca</b:First>
            <b:Last>Yanke</b:Last>
          </b:Person>
        </b:NameList>
      </b:Author>
    </b:Author>
  </b:Source>
  <b:Source>
    <b:Tag>source28</b:Tag>
    <b:SourceType>Misc</b:SourceType>
    <b:Publisher>Universidad Autónoma de Nuevo León</b:Publisher>
    <b:Title>Análisis de la vivienda y su relación con la salud a partir de las condiciones de habitabilidad. Caso de estudio: “el confinamiento en México durante la pandemia por la COVID-19”</b:Title>
    <b:URL>http://eprints.uanl.mx/id/eprint/23636</b:URL>
    <b:InternetSiteTitle>Repositorio Académico Digital UANL</b:InternetSiteTitle>
    <b:Year>2022</b:Year>
    <b:Gdcea>{"Description":"Tesis doctoral","AccessedType":"Website"}</b:Gdcea>
    <b:Author>
      <b:Author>
        <b:NameList>
          <b:Person>
            <b:First>Kateri</b:First>
            <b:Middle>Samantha</b:Middle>
            <b:Last>Hernández Pérez</b:Last>
          </b:Person>
        </b:NameList>
      </b:Author>
    </b:Author>
  </b:Source>
</b:Sources>
</file>

<file path=customXml/itemProps1.xml><?xml version="1.0" encoding="utf-8"?>
<ds:datastoreItem xmlns:ds="http://schemas.openxmlformats.org/officeDocument/2006/customXml" ds:itemID="{72630A44-1EFD-4AD2-A61E-154F4CF8F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6053</Words>
  <Characters>34508</Characters>
  <Application>Microsoft Office Word</Application>
  <DocSecurity>0</DocSecurity>
  <Lines>287</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2024-11-06T10:25:00Z</dcterms:created>
  <dcterms:modified xsi:type="dcterms:W3CDTF">2024-12-17T19:25:00Z</dcterms:modified>
</cp:coreProperties>
</file>