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FD516" w14:textId="50B5D5E8" w:rsidR="001D57F8" w:rsidRPr="00B97967" w:rsidRDefault="00F3657F" w:rsidP="261BEDB5">
      <w:pPr>
        <w:spacing w:line="360" w:lineRule="auto"/>
        <w:jc w:val="center"/>
        <w:rPr>
          <w:rFonts w:ascii="Times New Roman" w:eastAsia="Times New Roman" w:hAnsi="Times New Roman" w:cs="Times New Roman"/>
          <w:b/>
          <w:bCs/>
          <w:sz w:val="40"/>
          <w:szCs w:val="40"/>
        </w:rPr>
      </w:pPr>
      <w:bookmarkStart w:id="0" w:name="OLE_LINK1"/>
      <w:bookmarkStart w:id="1" w:name="OLE_LINK3"/>
      <w:r w:rsidRPr="00B97967">
        <w:rPr>
          <w:rFonts w:ascii="Times New Roman" w:eastAsia="Times New Roman" w:hAnsi="Times New Roman" w:cs="Times New Roman"/>
          <w:b/>
          <w:bCs/>
          <w:sz w:val="40"/>
          <w:szCs w:val="40"/>
        </w:rPr>
        <w:t>Desmitificación de los procesos de investigación en Arte y Diseño</w:t>
      </w:r>
      <w:r w:rsidR="0042341B" w:rsidRPr="00B97967">
        <w:rPr>
          <w:rFonts w:ascii="Times New Roman" w:eastAsia="Times New Roman" w:hAnsi="Times New Roman" w:cs="Times New Roman"/>
          <w:b/>
          <w:bCs/>
          <w:sz w:val="40"/>
          <w:szCs w:val="40"/>
        </w:rPr>
        <w:t xml:space="preserve">, </w:t>
      </w:r>
      <w:r w:rsidRPr="00B97967">
        <w:rPr>
          <w:rFonts w:ascii="Times New Roman" w:eastAsia="Times New Roman" w:hAnsi="Times New Roman" w:cs="Times New Roman"/>
          <w:b/>
          <w:bCs/>
          <w:sz w:val="40"/>
          <w:szCs w:val="40"/>
        </w:rPr>
        <w:t>la complejidad de la enseñanza en la frontera norte</w:t>
      </w:r>
    </w:p>
    <w:p w14:paraId="04CA6F2D" w14:textId="77777777" w:rsidR="0042341B" w:rsidRPr="00B97967" w:rsidRDefault="0042341B" w:rsidP="261BEDB5">
      <w:pPr>
        <w:spacing w:line="360" w:lineRule="auto"/>
        <w:rPr>
          <w:rFonts w:ascii="Times New Roman" w:eastAsia="Times New Roman" w:hAnsi="Times New Roman" w:cs="Times New Roman"/>
          <w:b/>
          <w:bCs/>
        </w:rPr>
      </w:pPr>
    </w:p>
    <w:p w14:paraId="063246CA" w14:textId="77777777" w:rsidR="0042341B" w:rsidRPr="00B97967" w:rsidRDefault="004D66E7" w:rsidP="261BEDB5">
      <w:pPr>
        <w:spacing w:line="360" w:lineRule="auto"/>
        <w:rPr>
          <w:rFonts w:ascii="Times New Roman" w:eastAsia="Times New Roman" w:hAnsi="Times New Roman" w:cs="Times New Roman"/>
          <w:b/>
          <w:bCs/>
          <w:i/>
          <w:iCs/>
          <w:sz w:val="26"/>
          <w:szCs w:val="26"/>
        </w:rPr>
      </w:pPr>
      <w:r w:rsidRPr="00B97967">
        <w:rPr>
          <w:rFonts w:ascii="Times New Roman" w:eastAsia="Times New Roman" w:hAnsi="Times New Roman" w:cs="Times New Roman"/>
          <w:b/>
          <w:bCs/>
          <w:sz w:val="26"/>
          <w:szCs w:val="26"/>
        </w:rPr>
        <w:t>Resumen</w:t>
      </w:r>
    </w:p>
    <w:p w14:paraId="0300B36B" w14:textId="6C0B3D0F" w:rsidR="00F3657F" w:rsidRPr="00B97967" w:rsidRDefault="00F3657F" w:rsidP="261BEDB5">
      <w:pPr>
        <w:spacing w:line="360" w:lineRule="auto"/>
        <w:rPr>
          <w:rFonts w:ascii="Times New Roman" w:eastAsia="Times New Roman" w:hAnsi="Times New Roman" w:cs="Times New Roman"/>
          <w:b/>
          <w:bCs/>
          <w:i/>
          <w:iCs/>
          <w:sz w:val="22"/>
          <w:szCs w:val="22"/>
        </w:rPr>
      </w:pPr>
      <w:r w:rsidRPr="00B97967">
        <w:rPr>
          <w:rFonts w:ascii="Times New Roman" w:eastAsia="Times New Roman" w:hAnsi="Times New Roman" w:cs="Times New Roman"/>
        </w:rPr>
        <w:t xml:space="preserve">La investigación en el ámbito educativo exige un alto grado de responsabilidad en sus procesos, estructuras y resultados. Una de las principales problemáticas que enfrenta la educación en México es la baja productividad científica, impactando esto a todos los niveles educativos. Este documento busca reflexionar sobre algunos de los paradigmas que enfrentan tanto docentes como estudiantes, frente a la complejidad de la enseñanza-aprendizaje en las áreas del arte y el diseño, específicamente en lo que concierne a los procesos de investigación en la frontera norte. Entre los desafíos más comunes se encuentran: </w:t>
      </w:r>
      <w:r w:rsidR="004D66E7" w:rsidRPr="00B97967">
        <w:rPr>
          <w:rFonts w:ascii="Times New Roman" w:eastAsia="Times New Roman" w:hAnsi="Times New Roman" w:cs="Times New Roman"/>
        </w:rPr>
        <w:t>L</w:t>
      </w:r>
      <w:r w:rsidRPr="00B97967">
        <w:rPr>
          <w:rFonts w:ascii="Times New Roman" w:eastAsia="Times New Roman" w:hAnsi="Times New Roman" w:cs="Times New Roman"/>
        </w:rPr>
        <w:t>a percepción de que el lenguaje científico por su rigurosidad y estructura inflexible resulta inaccesible</w:t>
      </w:r>
      <w:r w:rsidR="001D57F8" w:rsidRPr="00B97967">
        <w:rPr>
          <w:rFonts w:ascii="Times New Roman" w:eastAsia="Times New Roman" w:hAnsi="Times New Roman" w:cs="Times New Roman"/>
        </w:rPr>
        <w:t>. A</w:t>
      </w:r>
      <w:r w:rsidRPr="00B97967">
        <w:rPr>
          <w:rFonts w:ascii="Times New Roman" w:eastAsia="Times New Roman" w:hAnsi="Times New Roman" w:cs="Times New Roman"/>
        </w:rPr>
        <w:t>demás, la creencia de que, sin estudios de posgrado, uno no está capacitado para realizar investigación</w:t>
      </w:r>
      <w:r w:rsidR="001D57F8" w:rsidRPr="00B97967">
        <w:rPr>
          <w:rFonts w:ascii="Times New Roman" w:eastAsia="Times New Roman" w:hAnsi="Times New Roman" w:cs="Times New Roman"/>
        </w:rPr>
        <w:t>. T</w:t>
      </w:r>
      <w:r w:rsidRPr="00B97967">
        <w:rPr>
          <w:rFonts w:ascii="Times New Roman" w:eastAsia="Times New Roman" w:hAnsi="Times New Roman" w:cs="Times New Roman"/>
        </w:rPr>
        <w:t>ambién, está la idea errónea de que el hacer investigación implica inevitablemente sufrimiento</w:t>
      </w:r>
      <w:r w:rsidR="001D57F8" w:rsidRPr="00B97967">
        <w:rPr>
          <w:rFonts w:ascii="Times New Roman" w:eastAsia="Times New Roman" w:hAnsi="Times New Roman" w:cs="Times New Roman"/>
        </w:rPr>
        <w:t>. F</w:t>
      </w:r>
      <w:r w:rsidRPr="00B97967">
        <w:rPr>
          <w:rFonts w:ascii="Times New Roman" w:eastAsia="Times New Roman" w:hAnsi="Times New Roman" w:cs="Times New Roman"/>
        </w:rPr>
        <w:t>inalmente, la suposición de que los futuros profesionales en arte y diseño no necesitan de saber investigar, dado que su objetivo no será convertirse en investigadores. Estos son algunos de los mitos que podrían estar generando una brecha significativa en el desarrollo de la investigación, añadiendo complejidad a</w:t>
      </w:r>
      <w:r w:rsidR="004D66E7" w:rsidRPr="00B97967">
        <w:rPr>
          <w:rFonts w:ascii="Times New Roman" w:eastAsia="Times New Roman" w:hAnsi="Times New Roman" w:cs="Times New Roman"/>
        </w:rPr>
        <w:t xml:space="preserve"> l</w:t>
      </w:r>
      <w:r w:rsidRPr="00B97967">
        <w:rPr>
          <w:rFonts w:ascii="Times New Roman" w:eastAsia="Times New Roman" w:hAnsi="Times New Roman" w:cs="Times New Roman"/>
        </w:rPr>
        <w:t>os procesos de la enseñanza-aprendizaje en diversas instituciones. </w:t>
      </w:r>
    </w:p>
    <w:p w14:paraId="2E5E95CB" w14:textId="77777777" w:rsidR="006B0184" w:rsidRPr="00B97967" w:rsidRDefault="006B0184" w:rsidP="261BEDB5">
      <w:pPr>
        <w:spacing w:line="360" w:lineRule="auto"/>
        <w:rPr>
          <w:rFonts w:ascii="Times New Roman" w:eastAsia="Times New Roman" w:hAnsi="Times New Roman" w:cs="Times New Roman"/>
        </w:rPr>
      </w:pPr>
    </w:p>
    <w:p w14:paraId="04D5056A" w14:textId="0C0BC1AC" w:rsidR="0042341B" w:rsidRPr="00B97967" w:rsidRDefault="004D66E7"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b/>
          <w:bCs/>
          <w:sz w:val="26"/>
          <w:szCs w:val="26"/>
        </w:rPr>
        <w:t>Palabras Clave:</w:t>
      </w:r>
      <w:r w:rsidRPr="00B97967">
        <w:rPr>
          <w:rFonts w:ascii="Times New Roman" w:eastAsia="Times New Roman" w:hAnsi="Times New Roman" w:cs="Times New Roman"/>
        </w:rPr>
        <w:t xml:space="preserve"> Desmitificación, procesos de investigación, Arte y Diseño, Complejidad, Enseñanza-aprendizaje</w:t>
      </w:r>
    </w:p>
    <w:p w14:paraId="7461473A" w14:textId="77777777" w:rsidR="0042341B" w:rsidRPr="00B97967" w:rsidRDefault="0042341B" w:rsidP="261BEDB5">
      <w:pPr>
        <w:spacing w:line="360" w:lineRule="auto"/>
        <w:rPr>
          <w:rFonts w:ascii="Times New Roman" w:eastAsia="Times New Roman" w:hAnsi="Times New Roman" w:cs="Times New Roman"/>
        </w:rPr>
      </w:pPr>
    </w:p>
    <w:p w14:paraId="72E31860" w14:textId="7C1F5262" w:rsidR="6248A5FA" w:rsidRPr="00B97967" w:rsidRDefault="0042341B"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br w:type="page"/>
      </w:r>
      <w:r w:rsidR="6248A5FA" w:rsidRPr="00B97967">
        <w:rPr>
          <w:rFonts w:ascii="Times New Roman" w:eastAsia="Times New Roman" w:hAnsi="Times New Roman" w:cs="Times New Roman"/>
          <w:b/>
          <w:bCs/>
          <w:sz w:val="26"/>
          <w:szCs w:val="26"/>
        </w:rPr>
        <w:lastRenderedPageBreak/>
        <w:t>Introducción</w:t>
      </w:r>
    </w:p>
    <w:p w14:paraId="42E574D2" w14:textId="79A83048" w:rsidR="00E752F6" w:rsidRPr="00B97967" w:rsidRDefault="00E752F6" w:rsidP="261BEDB5">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Ciudad Juárez, es una ciudad situada en la región fronteriza </w:t>
      </w:r>
      <w:r w:rsidR="00967543" w:rsidRPr="00B97967">
        <w:rPr>
          <w:rFonts w:ascii="Times New Roman" w:eastAsia="Times New Roman" w:hAnsi="Times New Roman" w:cs="Times New Roman"/>
        </w:rPr>
        <w:t>en el estado de Chihuahua a</w:t>
      </w:r>
      <w:r w:rsidRPr="00B97967">
        <w:rPr>
          <w:rFonts w:ascii="Times New Roman" w:eastAsia="Times New Roman" w:hAnsi="Times New Roman" w:cs="Times New Roman"/>
        </w:rPr>
        <w:t xml:space="preserve">l norte de México, se localiza en la orilla del rio Bravo, entre la Sierra de Juárez en México y las Montañas Franklin en Estados Unidos. Este asentamiento se encuentra dentro de un amplio valle perteneciente al Gran Desierto Chihuahuense, reconocido como el más grande de América y el segundo en términos de biodiversidad a nivel mundial. </w:t>
      </w:r>
    </w:p>
    <w:p w14:paraId="73C5F270" w14:textId="0B6FACC7" w:rsidR="005974A0" w:rsidRPr="00B97967" w:rsidRDefault="00967543"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De acuerdo con Orozco (2007)</w:t>
      </w:r>
      <w:r w:rsidR="00F07D31" w:rsidRPr="00B97967">
        <w:rPr>
          <w:rFonts w:ascii="Times New Roman" w:eastAsia="Times New Roman" w:hAnsi="Times New Roman" w:cs="Times New Roman"/>
        </w:rPr>
        <w:t>,</w:t>
      </w:r>
      <w:r w:rsidRPr="00B97967">
        <w:rPr>
          <w:rFonts w:ascii="Times New Roman" w:eastAsia="Times New Roman" w:hAnsi="Times New Roman" w:cs="Times New Roman"/>
        </w:rPr>
        <w:t xml:space="preserve"> hasta mediados del siglo XIX, la localidad conicidad como Ciudad Juárez era conocida como Paso del Norte, un nombre que aludía a su función como punto estratégico de cruce hacia el norte del país, integrado en la ruta colonial del Camino Real de Tierradentro</w:t>
      </w:r>
      <w:r w:rsidR="005974A0" w:rsidRPr="00B97967">
        <w:rPr>
          <w:rFonts w:ascii="Times New Roman" w:eastAsia="Times New Roman" w:hAnsi="Times New Roman" w:cs="Times New Roman"/>
        </w:rPr>
        <w:t>. Posteriormente, hacia finales del XIX, dejó de ser un conjunto de pequeñas comunidades dedicadas a la agricultura y el comercio local, para experimentar un primer período de expansión. Asimismo, Padilla</w:t>
      </w:r>
      <w:r w:rsidR="00AD436F">
        <w:rPr>
          <w:rFonts w:ascii="Times New Roman" w:eastAsia="Times New Roman" w:hAnsi="Times New Roman" w:cs="Times New Roman"/>
        </w:rPr>
        <w:t xml:space="preserve"> </w:t>
      </w:r>
      <w:r w:rsidR="005974A0" w:rsidRPr="00B97967">
        <w:rPr>
          <w:rFonts w:ascii="Times New Roman" w:eastAsia="Times New Roman" w:hAnsi="Times New Roman" w:cs="Times New Roman"/>
        </w:rPr>
        <w:t>et al. (2014)</w:t>
      </w:r>
      <w:r w:rsidR="00F07D31" w:rsidRPr="00B97967">
        <w:rPr>
          <w:rFonts w:ascii="Times New Roman" w:eastAsia="Times New Roman" w:hAnsi="Times New Roman" w:cs="Times New Roman"/>
        </w:rPr>
        <w:t>,</w:t>
      </w:r>
      <w:r w:rsidR="005974A0" w:rsidRPr="00B97967">
        <w:rPr>
          <w:rFonts w:ascii="Times New Roman" w:eastAsia="Times New Roman" w:hAnsi="Times New Roman" w:cs="Times New Roman"/>
        </w:rPr>
        <w:t xml:space="preserve"> mencionan que este crecimiento se consolidó cuando, en 1885, se transformó de la Villa Paso del Norte adquirió el nombre de Ciudad Juárez, beneficiándose de su designación como zona libre marcando un hito en su evolución urbana y económica.</w:t>
      </w:r>
    </w:p>
    <w:p w14:paraId="2AC1D3D4" w14:textId="19042E7E" w:rsidR="00A92D36" w:rsidRPr="00B97967" w:rsidRDefault="00A92D36"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La incorporación de la industria maquiladora en 1970 marcó el inicio de un importante desarrollo en Ciudad Juárez, impulsando significativamente la generación de empleos. Este proceso también marcó un notable aumento en los flujos migratorios hacia la región, un fenómeno que ha persistido y continua vigente en la actualidad.</w:t>
      </w:r>
    </w:p>
    <w:p w14:paraId="5B6E4068" w14:textId="5AF998F3" w:rsidR="00E52DCA" w:rsidRPr="00B97967" w:rsidRDefault="00F939F9" w:rsidP="00E52DCA">
      <w:pPr>
        <w:spacing w:line="360" w:lineRule="auto"/>
        <w:rPr>
          <w:rFonts w:ascii="Times New Roman" w:eastAsia="Times New Roman" w:hAnsi="Times New Roman" w:cs="Times New Roman"/>
        </w:rPr>
      </w:pPr>
      <w:r w:rsidRPr="00B97967">
        <w:rPr>
          <w:rFonts w:ascii="Times New Roman" w:eastAsia="Times New Roman" w:hAnsi="Times New Roman" w:cs="Times New Roman"/>
        </w:rPr>
        <w:t>En las últimas cinco décadas, la industria maquiladora ha influido profundamente en diversos aspectos de la realidad social, estableciendo las prioridades en materia de política pública. Como resultado, en lugar de promover un desarrollo cultural integral para la ciudad, las políticas culturales fueron orientadas principalmente a satisfacer las demandas de la maquila, dejando en segundo plano las necesidades de la población</w:t>
      </w:r>
      <w:r w:rsidR="00E52DCA" w:rsidRPr="00B97967">
        <w:rPr>
          <w:rFonts w:ascii="Times New Roman" w:eastAsia="Times New Roman" w:hAnsi="Times New Roman" w:cs="Times New Roman"/>
        </w:rPr>
        <w:t xml:space="preserve"> local</w:t>
      </w:r>
      <w:r w:rsidR="15AFF9C5" w:rsidRPr="00B97967">
        <w:rPr>
          <w:rFonts w:ascii="Times New Roman" w:eastAsia="Times New Roman" w:hAnsi="Times New Roman" w:cs="Times New Roman"/>
        </w:rPr>
        <w:t xml:space="preserve"> (Padilla, 2007). La industria maquiladora transformó las dinámicas que atravesaron las prácticas sociales y culturales (Dell’Agnese &amp; Amilhat Szary, 2015). </w:t>
      </w:r>
    </w:p>
    <w:p w14:paraId="3BC7D363" w14:textId="1A6834A7" w:rsidR="0042341B" w:rsidRPr="00B97967" w:rsidRDefault="00E52DCA" w:rsidP="00E52DCA">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Así, l</w:t>
      </w:r>
      <w:r w:rsidR="15AFF9C5" w:rsidRPr="00B97967">
        <w:rPr>
          <w:rFonts w:ascii="Times New Roman" w:eastAsia="Times New Roman" w:hAnsi="Times New Roman" w:cs="Times New Roman"/>
        </w:rPr>
        <w:t>a frontera representaba el binomio del sueño americano particularmente para las mujeres jóvenes sin experiencia laboral y con mínima escolaridad. Paradójicamente las obreras de la maquiladora encarnaron uno de los capítulos de violencias más dolorosos de la historia de Ciudad Juárez: los feminicidios. Una extenuante revisión bibliográfica indizada y arbitrada se puede encontrar en La ciudad y el feminicidio en los textos académicos (Monarrez, et al., 2010)</w:t>
      </w:r>
      <w:r w:rsidR="00F07D31" w:rsidRPr="00B97967">
        <w:rPr>
          <w:rFonts w:ascii="Times New Roman" w:eastAsia="Times New Roman" w:hAnsi="Times New Roman" w:cs="Times New Roman"/>
        </w:rPr>
        <w:t>.</w:t>
      </w:r>
    </w:p>
    <w:p w14:paraId="72A00247" w14:textId="529D964C" w:rsidR="00E52DCA" w:rsidRPr="00B97967" w:rsidRDefault="00634960"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lastRenderedPageBreak/>
        <w:t xml:space="preserve">Donde se </w:t>
      </w:r>
      <w:r w:rsidR="00E52DCA" w:rsidRPr="00B97967">
        <w:rPr>
          <w:rFonts w:ascii="Times New Roman" w:eastAsia="Times New Roman" w:hAnsi="Times New Roman" w:cs="Times New Roman"/>
        </w:rPr>
        <w:t>distinguen diversos factores que intensifican las violencias estructurales, entre los que se encuentras la condición fronteriza, las dinámicas neoliberales, la precariedad laboral y social, los flujos migratorios, la trata de personas, el narcotráfico, solo por mencionar algunos</w:t>
      </w:r>
      <w:r w:rsidRPr="00B97967">
        <w:rPr>
          <w:rFonts w:ascii="Times New Roman" w:eastAsia="Times New Roman" w:hAnsi="Times New Roman" w:cs="Times New Roman"/>
        </w:rPr>
        <w:t>.</w:t>
      </w:r>
    </w:p>
    <w:p w14:paraId="1696414E" w14:textId="6ABD0878" w:rsidR="0042341B" w:rsidRPr="00B97967" w:rsidRDefault="15AFF9C5" w:rsidP="261BEDB5">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En marzo de 2008, </w:t>
      </w:r>
      <w:r w:rsidR="00634960" w:rsidRPr="00B97967">
        <w:rPr>
          <w:rFonts w:ascii="Times New Roman" w:eastAsia="Times New Roman" w:hAnsi="Times New Roman" w:cs="Times New Roman"/>
        </w:rPr>
        <w:t>Ciudad Juárez</w:t>
      </w:r>
      <w:r w:rsidR="00EE75ED" w:rsidRPr="00B97967">
        <w:rPr>
          <w:rFonts w:ascii="Times New Roman" w:eastAsia="Times New Roman" w:hAnsi="Times New Roman" w:cs="Times New Roman"/>
        </w:rPr>
        <w:t xml:space="preserve"> fue escenario de un suceso trascendental con la implementación </w:t>
      </w:r>
      <w:r w:rsidRPr="00B97967">
        <w:rPr>
          <w:rFonts w:ascii="Times New Roman" w:eastAsia="Times New Roman" w:hAnsi="Times New Roman" w:cs="Times New Roman"/>
        </w:rPr>
        <w:t>del Operativo Conjunto Chihuahua (OCCH)</w:t>
      </w:r>
      <w:r w:rsidR="00EE75ED" w:rsidRPr="00B97967">
        <w:rPr>
          <w:rFonts w:ascii="Times New Roman" w:eastAsia="Times New Roman" w:hAnsi="Times New Roman" w:cs="Times New Roman"/>
        </w:rPr>
        <w:t xml:space="preserve">. Este operativo implicó el despliegue de más de </w:t>
      </w:r>
      <w:r w:rsidRPr="00B97967">
        <w:rPr>
          <w:rFonts w:ascii="Times New Roman" w:eastAsia="Times New Roman" w:hAnsi="Times New Roman" w:cs="Times New Roman"/>
        </w:rPr>
        <w:t>2,200 militares</w:t>
      </w:r>
      <w:r w:rsidR="00EE75ED" w:rsidRPr="00B97967">
        <w:rPr>
          <w:rFonts w:ascii="Times New Roman" w:eastAsia="Times New Roman" w:hAnsi="Times New Roman" w:cs="Times New Roman"/>
        </w:rPr>
        <w:t>,</w:t>
      </w:r>
      <w:r w:rsidRPr="00B97967">
        <w:rPr>
          <w:rFonts w:ascii="Times New Roman" w:eastAsia="Times New Roman" w:hAnsi="Times New Roman" w:cs="Times New Roman"/>
        </w:rPr>
        <w:t xml:space="preserve"> 600 agentes de Policías Federales y </w:t>
      </w:r>
      <w:r w:rsidR="00EE75ED" w:rsidRPr="00B97967">
        <w:rPr>
          <w:rFonts w:ascii="Times New Roman" w:eastAsia="Times New Roman" w:hAnsi="Times New Roman" w:cs="Times New Roman"/>
        </w:rPr>
        <w:t>la creación</w:t>
      </w:r>
      <w:r w:rsidRPr="00B97967">
        <w:rPr>
          <w:rFonts w:ascii="Times New Roman" w:eastAsia="Times New Roman" w:hAnsi="Times New Roman" w:cs="Times New Roman"/>
        </w:rPr>
        <w:t xml:space="preserve"> de la SIEDO </w:t>
      </w:r>
      <w:r w:rsidR="00AB45F9" w:rsidRPr="00B97967">
        <w:rPr>
          <w:rFonts w:ascii="Times New Roman" w:eastAsia="Times New Roman" w:hAnsi="Times New Roman" w:cs="Times New Roman"/>
        </w:rPr>
        <w:t xml:space="preserve">una </w:t>
      </w:r>
      <w:r w:rsidRPr="00B97967">
        <w:rPr>
          <w:rFonts w:ascii="Times New Roman" w:eastAsia="Times New Roman" w:hAnsi="Times New Roman" w:cs="Times New Roman"/>
        </w:rPr>
        <w:t xml:space="preserve">agencia especial </w:t>
      </w:r>
      <w:r w:rsidR="00AB45F9" w:rsidRPr="00B97967">
        <w:rPr>
          <w:rFonts w:ascii="Times New Roman" w:eastAsia="Times New Roman" w:hAnsi="Times New Roman" w:cs="Times New Roman"/>
        </w:rPr>
        <w:t xml:space="preserve">en </w:t>
      </w:r>
      <w:r w:rsidRPr="00B97967">
        <w:rPr>
          <w:rFonts w:ascii="Times New Roman" w:eastAsia="Times New Roman" w:hAnsi="Times New Roman" w:cs="Times New Roman"/>
        </w:rPr>
        <w:t xml:space="preserve">el </w:t>
      </w:r>
      <w:r w:rsidR="00AB45F9" w:rsidRPr="00B97967">
        <w:rPr>
          <w:rFonts w:ascii="Times New Roman" w:eastAsia="Times New Roman" w:hAnsi="Times New Roman" w:cs="Times New Roman"/>
        </w:rPr>
        <w:t xml:space="preserve">combatir el </w:t>
      </w:r>
      <w:r w:rsidRPr="00B97967">
        <w:rPr>
          <w:rFonts w:ascii="Times New Roman" w:eastAsia="Times New Roman" w:hAnsi="Times New Roman" w:cs="Times New Roman"/>
        </w:rPr>
        <w:t>crimen organizado</w:t>
      </w:r>
      <w:r w:rsidR="00AB45F9" w:rsidRPr="00B97967">
        <w:rPr>
          <w:rFonts w:ascii="Times New Roman" w:eastAsia="Times New Roman" w:hAnsi="Times New Roman" w:cs="Times New Roman"/>
        </w:rPr>
        <w:t xml:space="preserve">. Este período marcó el inicio de la etapa más violenta en la historia contemporánea de México, </w:t>
      </w:r>
      <w:r w:rsidR="00F07D31" w:rsidRPr="00B97967">
        <w:rPr>
          <w:rFonts w:ascii="Times New Roman" w:eastAsia="Times New Roman" w:hAnsi="Times New Roman" w:cs="Times New Roman"/>
        </w:rPr>
        <w:t>conocida como</w:t>
      </w:r>
      <w:r w:rsidR="00AB45F9" w:rsidRPr="00B97967">
        <w:rPr>
          <w:rFonts w:ascii="Times New Roman" w:eastAsia="Times New Roman" w:hAnsi="Times New Roman" w:cs="Times New Roman"/>
        </w:rPr>
        <w:t xml:space="preserve"> </w:t>
      </w:r>
      <w:r w:rsidRPr="00B97967">
        <w:rPr>
          <w:rFonts w:ascii="Times New Roman" w:eastAsia="Times New Roman" w:hAnsi="Times New Roman" w:cs="Times New Roman"/>
        </w:rPr>
        <w:t>la guerra contra el narcotráfico</w:t>
      </w:r>
      <w:r w:rsidR="00AB45F9" w:rsidRPr="00B97967">
        <w:rPr>
          <w:rFonts w:ascii="Times New Roman" w:eastAsia="Times New Roman" w:hAnsi="Times New Roman" w:cs="Times New Roman"/>
        </w:rPr>
        <w:t>,</w:t>
      </w:r>
      <w:r w:rsidRPr="00B97967">
        <w:rPr>
          <w:rFonts w:ascii="Times New Roman" w:eastAsia="Times New Roman" w:hAnsi="Times New Roman" w:cs="Times New Roman"/>
        </w:rPr>
        <w:t xml:space="preserve"> que </w:t>
      </w:r>
      <w:r w:rsidR="00AB45F9" w:rsidRPr="00B97967">
        <w:rPr>
          <w:rFonts w:ascii="Times New Roman" w:eastAsia="Times New Roman" w:hAnsi="Times New Roman" w:cs="Times New Roman"/>
        </w:rPr>
        <w:t>movilizó</w:t>
      </w:r>
      <w:r w:rsidRPr="00B97967">
        <w:rPr>
          <w:rFonts w:ascii="Times New Roman" w:eastAsia="Times New Roman" w:hAnsi="Times New Roman" w:cs="Times New Roman"/>
        </w:rPr>
        <w:t xml:space="preserve"> 10,000 efectivos</w:t>
      </w:r>
      <w:r w:rsidR="00EE75ED" w:rsidRPr="00B97967">
        <w:rPr>
          <w:rFonts w:ascii="Times New Roman" w:eastAsia="Times New Roman" w:hAnsi="Times New Roman" w:cs="Times New Roman"/>
        </w:rPr>
        <w:t>,</w:t>
      </w:r>
      <w:r w:rsidRPr="00B97967">
        <w:rPr>
          <w:rFonts w:ascii="Times New Roman" w:eastAsia="Times New Roman" w:hAnsi="Times New Roman" w:cs="Times New Roman"/>
        </w:rPr>
        <w:t xml:space="preserve"> entre </w:t>
      </w:r>
      <w:r w:rsidR="00AB45F9" w:rsidRPr="00B97967">
        <w:rPr>
          <w:rFonts w:ascii="Times New Roman" w:eastAsia="Times New Roman" w:hAnsi="Times New Roman" w:cs="Times New Roman"/>
        </w:rPr>
        <w:t>fuerzas policiales y militares</w:t>
      </w:r>
      <w:r w:rsidRPr="00B97967">
        <w:rPr>
          <w:rFonts w:ascii="Times New Roman" w:eastAsia="Times New Roman" w:hAnsi="Times New Roman" w:cs="Times New Roman"/>
        </w:rPr>
        <w:t xml:space="preserve"> (Cardona, 2011)</w:t>
      </w:r>
      <w:r w:rsidR="00F07D31" w:rsidRPr="00B97967">
        <w:rPr>
          <w:rFonts w:ascii="Times New Roman" w:eastAsia="Times New Roman" w:hAnsi="Times New Roman" w:cs="Times New Roman"/>
        </w:rPr>
        <w:t>.</w:t>
      </w:r>
    </w:p>
    <w:p w14:paraId="7223D5C4" w14:textId="6A77C808" w:rsidR="0042341B" w:rsidRPr="00B97967" w:rsidRDefault="00AB45F9" w:rsidP="261BEDB5">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Entre </w:t>
      </w:r>
      <w:r w:rsidR="15AFF9C5" w:rsidRPr="00B97967">
        <w:rPr>
          <w:rFonts w:ascii="Times New Roman" w:eastAsia="Times New Roman" w:hAnsi="Times New Roman" w:cs="Times New Roman"/>
        </w:rPr>
        <w:t xml:space="preserve">2008 </w:t>
      </w:r>
      <w:r w:rsidRPr="00B97967">
        <w:rPr>
          <w:rFonts w:ascii="Times New Roman" w:eastAsia="Times New Roman" w:hAnsi="Times New Roman" w:cs="Times New Roman"/>
        </w:rPr>
        <w:t>y</w:t>
      </w:r>
      <w:r w:rsidR="15AFF9C5" w:rsidRPr="00B97967">
        <w:rPr>
          <w:rFonts w:ascii="Times New Roman" w:eastAsia="Times New Roman" w:hAnsi="Times New Roman" w:cs="Times New Roman"/>
        </w:rPr>
        <w:t xml:space="preserve"> 2012, </w:t>
      </w:r>
      <w:r w:rsidRPr="00B97967">
        <w:rPr>
          <w:rFonts w:ascii="Times New Roman" w:eastAsia="Times New Roman" w:hAnsi="Times New Roman" w:cs="Times New Roman"/>
        </w:rPr>
        <w:t xml:space="preserve">Ciudad Juárez registró una tasa de homicidios de </w:t>
      </w:r>
      <w:r w:rsidR="15AFF9C5" w:rsidRPr="00B97967">
        <w:rPr>
          <w:rFonts w:ascii="Times New Roman" w:eastAsia="Times New Roman" w:hAnsi="Times New Roman" w:cs="Times New Roman"/>
        </w:rPr>
        <w:t xml:space="preserve">1,200 por cada 100 mil habitantes, </w:t>
      </w:r>
      <w:r w:rsidRPr="00B97967">
        <w:rPr>
          <w:rFonts w:ascii="Times New Roman" w:eastAsia="Times New Roman" w:hAnsi="Times New Roman" w:cs="Times New Roman"/>
        </w:rPr>
        <w:t>posicionándola como la ciudad más violenta a nivel global</w:t>
      </w:r>
      <w:r w:rsidR="15AFF9C5" w:rsidRPr="00B97967">
        <w:rPr>
          <w:rFonts w:ascii="Times New Roman" w:eastAsia="Times New Roman" w:hAnsi="Times New Roman" w:cs="Times New Roman"/>
        </w:rPr>
        <w:t xml:space="preserve"> (Carpio-Domínguez, 2021). </w:t>
      </w:r>
      <w:r w:rsidRPr="00B97967">
        <w:rPr>
          <w:rFonts w:ascii="Times New Roman" w:eastAsia="Times New Roman" w:hAnsi="Times New Roman" w:cs="Times New Roman"/>
        </w:rPr>
        <w:t>Durante este período, s</w:t>
      </w:r>
      <w:r w:rsidR="15AFF9C5" w:rsidRPr="00B97967">
        <w:rPr>
          <w:rFonts w:ascii="Times New Roman" w:eastAsia="Times New Roman" w:hAnsi="Times New Roman" w:cs="Times New Roman"/>
        </w:rPr>
        <w:t xml:space="preserve">e perdieron </w:t>
      </w:r>
      <w:r w:rsidRPr="00B97967">
        <w:rPr>
          <w:rFonts w:ascii="Times New Roman" w:eastAsia="Times New Roman" w:hAnsi="Times New Roman" w:cs="Times New Roman"/>
        </w:rPr>
        <w:t>alrededor de</w:t>
      </w:r>
      <w:r w:rsidR="15AFF9C5" w:rsidRPr="00B97967">
        <w:rPr>
          <w:rFonts w:ascii="Times New Roman" w:eastAsia="Times New Roman" w:hAnsi="Times New Roman" w:cs="Times New Roman"/>
        </w:rPr>
        <w:t xml:space="preserve"> 75,000 empleos, </w:t>
      </w:r>
      <w:r w:rsidRPr="00B97967">
        <w:rPr>
          <w:rFonts w:ascii="Times New Roman" w:eastAsia="Times New Roman" w:hAnsi="Times New Roman" w:cs="Times New Roman"/>
        </w:rPr>
        <w:t>generando un descenso económico</w:t>
      </w:r>
      <w:r w:rsidR="00E542D6" w:rsidRPr="00B97967">
        <w:rPr>
          <w:rFonts w:ascii="Times New Roman" w:eastAsia="Times New Roman" w:hAnsi="Times New Roman" w:cs="Times New Roman"/>
        </w:rPr>
        <w:t>, e</w:t>
      </w:r>
      <w:r w:rsidR="15AFF9C5" w:rsidRPr="00B97967">
        <w:rPr>
          <w:rFonts w:ascii="Times New Roman" w:eastAsia="Times New Roman" w:hAnsi="Times New Roman" w:cs="Times New Roman"/>
        </w:rPr>
        <w:t xml:space="preserve"> </w:t>
      </w:r>
      <w:r w:rsidR="00E542D6" w:rsidRPr="00B97967">
        <w:rPr>
          <w:rFonts w:ascii="Times New Roman" w:eastAsia="Times New Roman" w:hAnsi="Times New Roman" w:cs="Times New Roman"/>
        </w:rPr>
        <w:t>incrementando considerablemente tanto el desempleo como los índices de pobreza de la localidad.</w:t>
      </w:r>
    </w:p>
    <w:p w14:paraId="548EF01F" w14:textId="26EC2F84" w:rsidR="0042341B" w:rsidRPr="00B97967" w:rsidRDefault="15AFF9C5" w:rsidP="261BEDB5">
      <w:pPr>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A partir de</w:t>
      </w:r>
      <w:r w:rsidR="00E542D6" w:rsidRPr="00B97967">
        <w:rPr>
          <w:rFonts w:ascii="Times New Roman" w:eastAsia="Times New Roman" w:hAnsi="Times New Roman" w:cs="Times New Roman"/>
        </w:rPr>
        <w:t>l</w:t>
      </w:r>
      <w:r w:rsidRPr="00B97967">
        <w:rPr>
          <w:rFonts w:ascii="Times New Roman" w:eastAsia="Times New Roman" w:hAnsi="Times New Roman" w:cs="Times New Roman"/>
        </w:rPr>
        <w:t xml:space="preserve"> 2019, nuevamente Ciudad Juárez está a prueba, con las políticas migratorias </w:t>
      </w:r>
      <w:r w:rsidRPr="00B97967">
        <w:rPr>
          <w:rFonts w:ascii="Times New Roman" w:eastAsia="Times New Roman" w:hAnsi="Times New Roman" w:cs="Times New Roman"/>
          <w:i/>
          <w:iCs/>
        </w:rPr>
        <w:t xml:space="preserve">Remain in </w:t>
      </w:r>
      <w:r w:rsidR="00E542D6" w:rsidRPr="00B97967">
        <w:rPr>
          <w:rFonts w:ascii="Times New Roman" w:eastAsia="Times New Roman" w:hAnsi="Times New Roman" w:cs="Times New Roman"/>
          <w:i/>
          <w:iCs/>
        </w:rPr>
        <w:t>México</w:t>
      </w:r>
      <w:r w:rsidRPr="00B97967">
        <w:rPr>
          <w:rFonts w:ascii="Times New Roman" w:eastAsia="Times New Roman" w:hAnsi="Times New Roman" w:cs="Times New Roman"/>
        </w:rPr>
        <w:t xml:space="preserve"> y el programa de </w:t>
      </w:r>
      <w:r w:rsidRPr="00B97967">
        <w:rPr>
          <w:rFonts w:ascii="Times New Roman" w:eastAsia="Times New Roman" w:hAnsi="Times New Roman" w:cs="Times New Roman"/>
          <w:i/>
          <w:iCs/>
        </w:rPr>
        <w:t>Regreso Voluntario</w:t>
      </w:r>
      <w:r w:rsidRPr="00B97967">
        <w:rPr>
          <w:rFonts w:ascii="Times New Roman" w:eastAsia="Times New Roman" w:hAnsi="Times New Roman" w:cs="Times New Roman"/>
        </w:rPr>
        <w:t xml:space="preserve"> resistiendo a más de 20,000 repatriados originarios de diferentes estados de la República Mexicana, como de Guatemala, Haití, Honduras, Salvador y Venezuela, una prueba de resistencia hasta para los mismos migrantes. </w:t>
      </w:r>
    </w:p>
    <w:p w14:paraId="36472D44" w14:textId="4E39BCC8" w:rsidR="0042341B" w:rsidRPr="00B97967" w:rsidRDefault="15AFF9C5" w:rsidP="261BEDB5">
      <w:pPr>
        <w:tabs>
          <w:tab w:val="left" w:pos="810"/>
        </w:tabs>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Por otra </w:t>
      </w:r>
      <w:r w:rsidR="00971764" w:rsidRPr="00B97967">
        <w:rPr>
          <w:rFonts w:ascii="Times New Roman" w:eastAsia="Times New Roman" w:hAnsi="Times New Roman" w:cs="Times New Roman"/>
        </w:rPr>
        <w:t>parte,</w:t>
      </w:r>
      <w:r w:rsidRPr="00B97967">
        <w:rPr>
          <w:rFonts w:ascii="Times New Roman" w:eastAsia="Times New Roman" w:hAnsi="Times New Roman" w:cs="Times New Roman"/>
        </w:rPr>
        <w:t xml:space="preserve"> Tabuenca (2018) esboza de manera polifónica a la frontera, a través de las voces situadas, posibilitando escapar de las representaciones instauradas. Algunos académicos, también han considerado a la frontera como un </w:t>
      </w:r>
      <w:r w:rsidRPr="00B97967">
        <w:rPr>
          <w:rFonts w:ascii="Times New Roman" w:eastAsia="Times New Roman" w:hAnsi="Times New Roman" w:cs="Times New Roman"/>
          <w:i/>
          <w:iCs/>
        </w:rPr>
        <w:t xml:space="preserve">laboratorio </w:t>
      </w:r>
      <w:r w:rsidRPr="00B97967">
        <w:rPr>
          <w:rFonts w:ascii="Times New Roman" w:eastAsia="Times New Roman" w:hAnsi="Times New Roman" w:cs="Times New Roman"/>
        </w:rPr>
        <w:t>para explicar el sistema neoliberal (Harvey, 2021); las culturas hibridas (Canclini, 2012); las violencias futuras (Bowden, 1998) y como centro/periferia (Richards &amp; Tompkins, 2013).</w:t>
      </w:r>
    </w:p>
    <w:p w14:paraId="7C733AB4" w14:textId="2CA44437" w:rsidR="1F6471A9" w:rsidRPr="00B97967" w:rsidRDefault="00E542D6" w:rsidP="00E542D6">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Al analizar con mayor profundidad cómo se ha estudiado Ciudad Juárez, resulta relevante destacar la necesidad de visibilizar sus múltiples marginalidades a través de la investigación educativa. Sin embargo, estos enfoques tienden a centrarse en la resolución de problemas de carácter global, dejando de lado los contextos y desafíos locales. En este sentido </w:t>
      </w:r>
      <w:r w:rsidR="1F6471A9" w:rsidRPr="00B97967">
        <w:rPr>
          <w:rFonts w:ascii="Times New Roman" w:eastAsia="Times New Roman" w:hAnsi="Times New Roman" w:cs="Times New Roman"/>
        </w:rPr>
        <w:t xml:space="preserve">la teoría de la hibridez </w:t>
      </w:r>
      <w:r w:rsidR="00BA0989" w:rsidRPr="00B97967">
        <w:rPr>
          <w:rFonts w:ascii="Times New Roman" w:eastAsia="Times New Roman" w:hAnsi="Times New Roman" w:cs="Times New Roman"/>
        </w:rPr>
        <w:t>minimiza</w:t>
      </w:r>
      <w:r w:rsidR="1F6471A9" w:rsidRPr="00B97967">
        <w:rPr>
          <w:rFonts w:ascii="Times New Roman" w:eastAsia="Times New Roman" w:hAnsi="Times New Roman" w:cs="Times New Roman"/>
        </w:rPr>
        <w:t xml:space="preserve"> </w:t>
      </w:r>
      <w:r w:rsidR="00BA0989" w:rsidRPr="00B97967">
        <w:rPr>
          <w:rFonts w:ascii="Times New Roman" w:eastAsia="Times New Roman" w:hAnsi="Times New Roman" w:cs="Times New Roman"/>
        </w:rPr>
        <w:t xml:space="preserve">su </w:t>
      </w:r>
      <w:r w:rsidRPr="00B97967">
        <w:rPr>
          <w:rFonts w:ascii="Times New Roman" w:eastAsia="Times New Roman" w:hAnsi="Times New Roman" w:cs="Times New Roman"/>
        </w:rPr>
        <w:t>capacidad crítica, transformándose en un concepto conciliador que no logra contra restar las dinámicas impuestas por la lógica neoliberal</w:t>
      </w:r>
      <w:r w:rsidR="1F6471A9" w:rsidRPr="00B97967">
        <w:rPr>
          <w:rFonts w:ascii="Times New Roman" w:eastAsia="Times New Roman" w:hAnsi="Times New Roman" w:cs="Times New Roman"/>
        </w:rPr>
        <w:t xml:space="preserve"> (Yépez, 2006, p. 34).</w:t>
      </w:r>
    </w:p>
    <w:p w14:paraId="53A30B6B" w14:textId="46419B30" w:rsidR="0042341B" w:rsidRPr="00B97967" w:rsidRDefault="0042341B" w:rsidP="261BEDB5">
      <w:pPr>
        <w:tabs>
          <w:tab w:val="left" w:pos="810"/>
        </w:tabs>
        <w:spacing w:line="360" w:lineRule="auto"/>
        <w:ind w:firstLine="284"/>
        <w:rPr>
          <w:rFonts w:ascii="Times New Roman" w:eastAsia="Times New Roman" w:hAnsi="Times New Roman" w:cs="Times New Roman"/>
        </w:rPr>
      </w:pPr>
    </w:p>
    <w:p w14:paraId="31AAA482" w14:textId="25AECEB1" w:rsidR="1CBB5A81" w:rsidRPr="00B97967" w:rsidRDefault="1CBB5A81" w:rsidP="261BEDB5">
      <w:pPr>
        <w:spacing w:line="360" w:lineRule="auto"/>
        <w:rPr>
          <w:rFonts w:ascii="Times New Roman" w:eastAsia="Times New Roman" w:hAnsi="Times New Roman" w:cs="Times New Roman"/>
          <w:b/>
          <w:bCs/>
          <w:sz w:val="26"/>
          <w:szCs w:val="26"/>
        </w:rPr>
      </w:pPr>
      <w:r w:rsidRPr="00B97967">
        <w:rPr>
          <w:rFonts w:ascii="Times New Roman" w:eastAsia="Times New Roman" w:hAnsi="Times New Roman" w:cs="Times New Roman"/>
          <w:b/>
          <w:bCs/>
          <w:sz w:val="26"/>
          <w:szCs w:val="26"/>
        </w:rPr>
        <w:lastRenderedPageBreak/>
        <w:t>Desarrollo</w:t>
      </w:r>
    </w:p>
    <w:p w14:paraId="112123F1" w14:textId="2DDC4172" w:rsidR="1E66B395" w:rsidRPr="00B97967" w:rsidRDefault="00BA0989" w:rsidP="261BEDB5">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La función principal de las universidades es fomentar la generación y diseminación del conocimiento; s</w:t>
      </w:r>
      <w:r w:rsidR="1E66B395" w:rsidRPr="00B97967">
        <w:rPr>
          <w:rFonts w:ascii="Times New Roman" w:eastAsia="Times New Roman" w:hAnsi="Times New Roman" w:cs="Times New Roman"/>
        </w:rPr>
        <w:t>in embargo, los programas educativos, debido a su fuerte tradición disciplinaria, no ha permitido un desarrollo en la enseñanza-aprendizaje de la investigación en su comunidad académica. En otros países, es común que los alumnos de nivel básico y medio superior aborden sus áreas de estudio desde la investigación de campo y aplicada, así como la reflexión, el ensayo y el análisis por mencionar algunas. En contraste, la educación en México sigue siendo tradicional, con un enfoque en el docente como generador del conocimiento y los estudiantes como receptores pasivos. Esto impacta fuertemente en las universidades al recibir estudiantes con deficiencias básicas como lectura</w:t>
      </w:r>
      <w:r w:rsidR="002C350D" w:rsidRPr="00B97967">
        <w:rPr>
          <w:rFonts w:ascii="Times New Roman" w:eastAsia="Times New Roman" w:hAnsi="Times New Roman" w:cs="Times New Roman"/>
        </w:rPr>
        <w:t>,</w:t>
      </w:r>
      <w:r w:rsidR="1E66B395" w:rsidRPr="00B97967">
        <w:rPr>
          <w:rFonts w:ascii="Times New Roman" w:eastAsia="Times New Roman" w:hAnsi="Times New Roman" w:cs="Times New Roman"/>
        </w:rPr>
        <w:t xml:space="preserve"> redacción</w:t>
      </w:r>
      <w:r w:rsidR="002C350D" w:rsidRPr="00B97967">
        <w:rPr>
          <w:rFonts w:ascii="Times New Roman" w:eastAsia="Times New Roman" w:hAnsi="Times New Roman" w:cs="Times New Roman"/>
        </w:rPr>
        <w:t>,</w:t>
      </w:r>
      <w:r w:rsidR="1E66B395" w:rsidRPr="00B97967">
        <w:rPr>
          <w:rFonts w:ascii="Times New Roman" w:eastAsia="Times New Roman" w:hAnsi="Times New Roman" w:cs="Times New Roman"/>
        </w:rPr>
        <w:t xml:space="preserve"> ortografía y comprensión; </w:t>
      </w:r>
      <w:r w:rsidR="002C350D" w:rsidRPr="00B97967">
        <w:rPr>
          <w:rFonts w:ascii="Times New Roman" w:eastAsia="Times New Roman" w:hAnsi="Times New Roman" w:cs="Times New Roman"/>
        </w:rPr>
        <w:t>en contraste con</w:t>
      </w:r>
      <w:r w:rsidR="1E66B395" w:rsidRPr="00B97967">
        <w:rPr>
          <w:rFonts w:ascii="Times New Roman" w:eastAsia="Times New Roman" w:hAnsi="Times New Roman" w:cs="Times New Roman"/>
        </w:rPr>
        <w:t xml:space="preserve"> los rápidos cambios en el ámbito universitario todo ello provoca un estancamiento y desajuste en los esfuerzos educativo</w:t>
      </w:r>
      <w:r w:rsidR="002C350D" w:rsidRPr="00B97967">
        <w:rPr>
          <w:rFonts w:ascii="Times New Roman" w:eastAsia="Times New Roman" w:hAnsi="Times New Roman" w:cs="Times New Roman"/>
        </w:rPr>
        <w:t xml:space="preserve"> de nivel superior</w:t>
      </w:r>
      <w:r w:rsidR="1E66B395" w:rsidRPr="00B97967">
        <w:rPr>
          <w:rFonts w:ascii="Times New Roman" w:eastAsia="Times New Roman" w:hAnsi="Times New Roman" w:cs="Times New Roman"/>
        </w:rPr>
        <w:t>.</w:t>
      </w:r>
    </w:p>
    <w:p w14:paraId="3E526D9C" w14:textId="38FED565" w:rsidR="5B5BB0B8" w:rsidRPr="00B97967" w:rsidRDefault="5B5BB0B8" w:rsidP="261BEDB5">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Sin embargo, hay que </w:t>
      </w:r>
      <w:r w:rsidR="739ACE9C" w:rsidRPr="00B97967">
        <w:rPr>
          <w:rFonts w:ascii="Times New Roman" w:eastAsia="Times New Roman" w:hAnsi="Times New Roman" w:cs="Times New Roman"/>
        </w:rPr>
        <w:t xml:space="preserve">admitir </w:t>
      </w:r>
      <w:r w:rsidR="3F53BE08" w:rsidRPr="00B97967">
        <w:rPr>
          <w:rFonts w:ascii="Times New Roman" w:eastAsia="Times New Roman" w:hAnsi="Times New Roman" w:cs="Times New Roman"/>
        </w:rPr>
        <w:t>que,</w:t>
      </w:r>
      <w:r w:rsidR="739ACE9C" w:rsidRPr="00B97967">
        <w:rPr>
          <w:rFonts w:ascii="Times New Roman" w:eastAsia="Times New Roman" w:hAnsi="Times New Roman" w:cs="Times New Roman"/>
        </w:rPr>
        <w:t xml:space="preserve"> </w:t>
      </w:r>
      <w:r w:rsidR="25B0209B" w:rsidRPr="00B97967">
        <w:rPr>
          <w:rFonts w:ascii="Times New Roman" w:eastAsia="Times New Roman" w:hAnsi="Times New Roman" w:cs="Times New Roman"/>
        </w:rPr>
        <w:t xml:space="preserve">en la frontera de Ciudad Juárez, </w:t>
      </w:r>
      <w:r w:rsidR="1B1D9FB2" w:rsidRPr="00B97967">
        <w:rPr>
          <w:rFonts w:ascii="Times New Roman" w:eastAsia="Times New Roman" w:hAnsi="Times New Roman" w:cs="Times New Roman"/>
        </w:rPr>
        <w:t xml:space="preserve">se han producido otras formas de </w:t>
      </w:r>
      <w:r w:rsidR="7662C684" w:rsidRPr="00B97967">
        <w:rPr>
          <w:rFonts w:ascii="Times New Roman" w:eastAsia="Times New Roman" w:hAnsi="Times New Roman" w:cs="Times New Roman"/>
        </w:rPr>
        <w:t xml:space="preserve">construir el </w:t>
      </w:r>
      <w:r w:rsidR="1B1D9FB2" w:rsidRPr="00B97967">
        <w:rPr>
          <w:rFonts w:ascii="Times New Roman" w:eastAsia="Times New Roman" w:hAnsi="Times New Roman" w:cs="Times New Roman"/>
        </w:rPr>
        <w:t xml:space="preserve">conocimiento </w:t>
      </w:r>
      <w:r w:rsidR="77E8CB9E" w:rsidRPr="00B97967">
        <w:rPr>
          <w:rFonts w:ascii="Times New Roman" w:eastAsia="Times New Roman" w:hAnsi="Times New Roman" w:cs="Times New Roman"/>
        </w:rPr>
        <w:t>a partir d</w:t>
      </w:r>
      <w:r w:rsidR="156C0A1E" w:rsidRPr="00B97967">
        <w:rPr>
          <w:rFonts w:ascii="Times New Roman" w:eastAsia="Times New Roman" w:hAnsi="Times New Roman" w:cs="Times New Roman"/>
        </w:rPr>
        <w:t xml:space="preserve">e la necesidad de exponer </w:t>
      </w:r>
      <w:r w:rsidR="2549FD37" w:rsidRPr="00B97967">
        <w:rPr>
          <w:rFonts w:ascii="Times New Roman" w:eastAsia="Times New Roman" w:hAnsi="Times New Roman" w:cs="Times New Roman"/>
        </w:rPr>
        <w:t>la</w:t>
      </w:r>
      <w:r w:rsidR="156C0A1E" w:rsidRPr="00B97967">
        <w:rPr>
          <w:rFonts w:ascii="Times New Roman" w:eastAsia="Times New Roman" w:hAnsi="Times New Roman" w:cs="Times New Roman"/>
        </w:rPr>
        <w:t xml:space="preserve"> consonancia </w:t>
      </w:r>
      <w:r w:rsidR="10BC7AE0" w:rsidRPr="00B97967">
        <w:rPr>
          <w:rFonts w:ascii="Times New Roman" w:eastAsia="Times New Roman" w:hAnsi="Times New Roman" w:cs="Times New Roman"/>
        </w:rPr>
        <w:t xml:space="preserve">de </w:t>
      </w:r>
      <w:r w:rsidR="156C0A1E" w:rsidRPr="00B97967">
        <w:rPr>
          <w:rFonts w:ascii="Times New Roman" w:eastAsia="Times New Roman" w:hAnsi="Times New Roman" w:cs="Times New Roman"/>
        </w:rPr>
        <w:t>la</w:t>
      </w:r>
      <w:r w:rsidR="7B61A0B9" w:rsidRPr="00B97967">
        <w:rPr>
          <w:rFonts w:ascii="Times New Roman" w:eastAsia="Times New Roman" w:hAnsi="Times New Roman" w:cs="Times New Roman"/>
        </w:rPr>
        <w:t>s</w:t>
      </w:r>
      <w:r w:rsidR="156C0A1E" w:rsidRPr="00B97967">
        <w:rPr>
          <w:rFonts w:ascii="Times New Roman" w:eastAsia="Times New Roman" w:hAnsi="Times New Roman" w:cs="Times New Roman"/>
        </w:rPr>
        <w:t xml:space="preserve"> experiencia</w:t>
      </w:r>
      <w:r w:rsidR="1B9A471D" w:rsidRPr="00B97967">
        <w:rPr>
          <w:rFonts w:ascii="Times New Roman" w:eastAsia="Times New Roman" w:hAnsi="Times New Roman" w:cs="Times New Roman"/>
        </w:rPr>
        <w:t xml:space="preserve">s </w:t>
      </w:r>
      <w:r w:rsidR="4D8D7714" w:rsidRPr="00B97967">
        <w:rPr>
          <w:rFonts w:ascii="Times New Roman" w:eastAsia="Times New Roman" w:hAnsi="Times New Roman" w:cs="Times New Roman"/>
        </w:rPr>
        <w:t>docente</w:t>
      </w:r>
      <w:r w:rsidR="2EEE83DE" w:rsidRPr="00B97967">
        <w:rPr>
          <w:rFonts w:ascii="Times New Roman" w:eastAsia="Times New Roman" w:hAnsi="Times New Roman" w:cs="Times New Roman"/>
        </w:rPr>
        <w:t>s</w:t>
      </w:r>
      <w:r w:rsidR="400963AA" w:rsidRPr="00B97967">
        <w:rPr>
          <w:rFonts w:ascii="Times New Roman" w:eastAsia="Times New Roman" w:hAnsi="Times New Roman" w:cs="Times New Roman"/>
        </w:rPr>
        <w:t xml:space="preserve"> y </w:t>
      </w:r>
      <w:r w:rsidR="2EEE83DE" w:rsidRPr="00B97967">
        <w:rPr>
          <w:rFonts w:ascii="Times New Roman" w:eastAsia="Times New Roman" w:hAnsi="Times New Roman" w:cs="Times New Roman"/>
        </w:rPr>
        <w:t>la responsabilidad social</w:t>
      </w:r>
      <w:r w:rsidR="4D8D7714" w:rsidRPr="00B97967">
        <w:rPr>
          <w:rFonts w:ascii="Times New Roman" w:eastAsia="Times New Roman" w:hAnsi="Times New Roman" w:cs="Times New Roman"/>
        </w:rPr>
        <w:t xml:space="preserve"> </w:t>
      </w:r>
      <w:r w:rsidR="10998F4A" w:rsidRPr="00B97967">
        <w:rPr>
          <w:rFonts w:ascii="Times New Roman" w:eastAsia="Times New Roman" w:hAnsi="Times New Roman" w:cs="Times New Roman"/>
        </w:rPr>
        <w:t>como un proceso de investigación acción (Chávez y Álvarez, 202</w:t>
      </w:r>
      <w:r w:rsidR="00971764" w:rsidRPr="00B97967">
        <w:rPr>
          <w:rFonts w:ascii="Times New Roman" w:eastAsia="Times New Roman" w:hAnsi="Times New Roman" w:cs="Times New Roman"/>
        </w:rPr>
        <w:t>1</w:t>
      </w:r>
      <w:r w:rsidR="10998F4A" w:rsidRPr="00B97967">
        <w:rPr>
          <w:rFonts w:ascii="Times New Roman" w:eastAsia="Times New Roman" w:hAnsi="Times New Roman" w:cs="Times New Roman"/>
        </w:rPr>
        <w:t>)</w:t>
      </w:r>
      <w:r w:rsidR="00971764" w:rsidRPr="00B97967">
        <w:rPr>
          <w:rFonts w:ascii="Times New Roman" w:eastAsia="Times New Roman" w:hAnsi="Times New Roman" w:cs="Times New Roman"/>
        </w:rPr>
        <w:t>,</w:t>
      </w:r>
      <w:r w:rsidR="1B8DD37C" w:rsidRPr="00B97967">
        <w:rPr>
          <w:rFonts w:ascii="Times New Roman" w:eastAsia="Times New Roman" w:hAnsi="Times New Roman" w:cs="Times New Roman"/>
        </w:rPr>
        <w:t xml:space="preserve"> que en términos de la complejidad </w:t>
      </w:r>
      <w:r w:rsidR="4A84B15F" w:rsidRPr="00B97967">
        <w:rPr>
          <w:rFonts w:ascii="Times New Roman" w:eastAsia="Times New Roman" w:hAnsi="Times New Roman" w:cs="Times New Roman"/>
        </w:rPr>
        <w:t xml:space="preserve">subrayamos el fracaso histórico </w:t>
      </w:r>
      <w:r w:rsidR="172F79BD" w:rsidRPr="00B97967">
        <w:rPr>
          <w:rFonts w:ascii="Times New Roman" w:eastAsia="Times New Roman" w:hAnsi="Times New Roman" w:cs="Times New Roman"/>
        </w:rPr>
        <w:t xml:space="preserve">del “apriorismo </w:t>
      </w:r>
      <w:r w:rsidR="5883CA1A" w:rsidRPr="00B97967">
        <w:rPr>
          <w:rFonts w:ascii="Times New Roman" w:eastAsia="Times New Roman" w:hAnsi="Times New Roman" w:cs="Times New Roman"/>
        </w:rPr>
        <w:t>epistemológico” un sistema de organización de sentido plagada de mitos (</w:t>
      </w:r>
      <w:r w:rsidR="2F853434" w:rsidRPr="00B97967">
        <w:rPr>
          <w:rFonts w:ascii="Times New Roman" w:eastAsia="Times New Roman" w:hAnsi="Times New Roman" w:cs="Times New Roman"/>
        </w:rPr>
        <w:t>Morin</w:t>
      </w:r>
      <w:r w:rsidR="3F3A3A50" w:rsidRPr="00B97967">
        <w:rPr>
          <w:rFonts w:ascii="Times New Roman" w:eastAsia="Times New Roman" w:hAnsi="Times New Roman" w:cs="Times New Roman"/>
        </w:rPr>
        <w:t>,</w:t>
      </w:r>
      <w:r w:rsidR="5883CA1A" w:rsidRPr="00B97967">
        <w:rPr>
          <w:rFonts w:ascii="Times New Roman" w:eastAsia="Times New Roman" w:hAnsi="Times New Roman" w:cs="Times New Roman"/>
        </w:rPr>
        <w:t xml:space="preserve"> </w:t>
      </w:r>
      <w:r w:rsidR="68DF19C2" w:rsidRPr="00B97967">
        <w:rPr>
          <w:rFonts w:ascii="Times New Roman" w:eastAsia="Times New Roman" w:hAnsi="Times New Roman" w:cs="Times New Roman"/>
        </w:rPr>
        <w:t>199</w:t>
      </w:r>
      <w:r w:rsidR="00971764" w:rsidRPr="00B97967">
        <w:rPr>
          <w:rFonts w:ascii="Times New Roman" w:eastAsia="Times New Roman" w:hAnsi="Times New Roman" w:cs="Times New Roman"/>
        </w:rPr>
        <w:t>9</w:t>
      </w:r>
      <w:r w:rsidR="5883CA1A" w:rsidRPr="00B97967">
        <w:rPr>
          <w:rFonts w:ascii="Times New Roman" w:eastAsia="Times New Roman" w:hAnsi="Times New Roman" w:cs="Times New Roman"/>
        </w:rPr>
        <w:t>)</w:t>
      </w:r>
      <w:r w:rsidR="00971764" w:rsidRPr="00B97967">
        <w:rPr>
          <w:rFonts w:ascii="Times New Roman" w:eastAsia="Times New Roman" w:hAnsi="Times New Roman" w:cs="Times New Roman"/>
        </w:rPr>
        <w:t>,</w:t>
      </w:r>
      <w:r w:rsidR="5883CA1A" w:rsidRPr="00B97967">
        <w:rPr>
          <w:rFonts w:ascii="Times New Roman" w:eastAsia="Times New Roman" w:hAnsi="Times New Roman" w:cs="Times New Roman"/>
        </w:rPr>
        <w:t xml:space="preserve"> </w:t>
      </w:r>
      <w:r w:rsidR="128E01B0" w:rsidRPr="00B97967">
        <w:rPr>
          <w:rFonts w:ascii="Times New Roman" w:eastAsia="Times New Roman" w:hAnsi="Times New Roman" w:cs="Times New Roman"/>
        </w:rPr>
        <w:t>tal es</w:t>
      </w:r>
      <w:r w:rsidR="7286F17B" w:rsidRPr="00B97967">
        <w:rPr>
          <w:rFonts w:ascii="Times New Roman" w:eastAsia="Times New Roman" w:hAnsi="Times New Roman" w:cs="Times New Roman"/>
        </w:rPr>
        <w:t xml:space="preserve"> el caso de </w:t>
      </w:r>
      <w:r w:rsidR="7CD40BA5" w:rsidRPr="00B97967">
        <w:rPr>
          <w:rFonts w:ascii="Times New Roman" w:eastAsia="Times New Roman" w:hAnsi="Times New Roman" w:cs="Times New Roman"/>
        </w:rPr>
        <w:t xml:space="preserve">la imposición de procesos </w:t>
      </w:r>
      <w:r w:rsidR="78C81487" w:rsidRPr="00B97967">
        <w:rPr>
          <w:rFonts w:ascii="Times New Roman" w:eastAsia="Times New Roman" w:hAnsi="Times New Roman" w:cs="Times New Roman"/>
        </w:rPr>
        <w:t xml:space="preserve">infalibles </w:t>
      </w:r>
      <w:r w:rsidR="7CD40BA5" w:rsidRPr="00B97967">
        <w:rPr>
          <w:rFonts w:ascii="Times New Roman" w:eastAsia="Times New Roman" w:hAnsi="Times New Roman" w:cs="Times New Roman"/>
        </w:rPr>
        <w:t>para la creación en arte y diseño</w:t>
      </w:r>
      <w:r w:rsidR="58C14438" w:rsidRPr="00B97967">
        <w:rPr>
          <w:rFonts w:ascii="Times New Roman" w:eastAsia="Times New Roman" w:hAnsi="Times New Roman" w:cs="Times New Roman"/>
        </w:rPr>
        <w:t>.</w:t>
      </w:r>
      <w:r w:rsidR="3062C7F0" w:rsidRPr="00B97967">
        <w:rPr>
          <w:rFonts w:ascii="Times New Roman" w:eastAsia="Times New Roman" w:hAnsi="Times New Roman" w:cs="Times New Roman"/>
        </w:rPr>
        <w:t xml:space="preserve"> </w:t>
      </w:r>
    </w:p>
    <w:p w14:paraId="601A563F" w14:textId="5FA936E6" w:rsidR="6AFB9D4C" w:rsidRPr="00B97967" w:rsidRDefault="6AFB9D4C" w:rsidP="261BEDB5">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En la frontera norte, aunque son escasas las investigaciones en arte y diseño frente a otras disciplinas, destacan trabajos relat</w:t>
      </w:r>
      <w:r w:rsidR="0BFE3F5B" w:rsidRPr="00B97967">
        <w:rPr>
          <w:rFonts w:ascii="Times New Roman" w:eastAsia="Times New Roman" w:hAnsi="Times New Roman" w:cs="Times New Roman"/>
        </w:rPr>
        <w:t>ivos a la participación de investigadores en proyectos comunitarios desde aproxima</w:t>
      </w:r>
      <w:r w:rsidR="1B775C65" w:rsidRPr="00B97967">
        <w:rPr>
          <w:rFonts w:ascii="Times New Roman" w:eastAsia="Times New Roman" w:hAnsi="Times New Roman" w:cs="Times New Roman"/>
        </w:rPr>
        <w:t xml:space="preserve">ciones cualitativas. </w:t>
      </w:r>
      <w:r w:rsidR="00BA0989" w:rsidRPr="00B97967">
        <w:rPr>
          <w:rFonts w:ascii="Times New Roman" w:eastAsia="Times New Roman" w:hAnsi="Times New Roman" w:cs="Times New Roman"/>
        </w:rPr>
        <w:t>Asimismo, se generan</w:t>
      </w:r>
      <w:r w:rsidR="1B775C65" w:rsidRPr="00B97967">
        <w:rPr>
          <w:rFonts w:ascii="Times New Roman" w:eastAsia="Times New Roman" w:hAnsi="Times New Roman" w:cs="Times New Roman"/>
        </w:rPr>
        <w:t xml:space="preserve"> producciones </w:t>
      </w:r>
      <w:r w:rsidR="00BA0989" w:rsidRPr="00B97967">
        <w:rPr>
          <w:rFonts w:ascii="Times New Roman" w:eastAsia="Times New Roman" w:hAnsi="Times New Roman" w:cs="Times New Roman"/>
        </w:rPr>
        <w:t xml:space="preserve">que reflejan la experiencia en acceso y uso de los </w:t>
      </w:r>
      <w:r w:rsidR="005E03B7" w:rsidRPr="00B97967">
        <w:rPr>
          <w:rFonts w:ascii="Times New Roman" w:eastAsia="Times New Roman" w:hAnsi="Times New Roman" w:cs="Times New Roman"/>
        </w:rPr>
        <w:t>temas</w:t>
      </w:r>
      <w:r w:rsidR="00BA0989" w:rsidRPr="00B97967">
        <w:rPr>
          <w:rFonts w:ascii="Times New Roman" w:eastAsia="Times New Roman" w:hAnsi="Times New Roman" w:cs="Times New Roman"/>
        </w:rPr>
        <w:t xml:space="preserve"> culturales, y que, por supuesto, abordan la prevención de la violencia mediante el arte y el diseño</w:t>
      </w:r>
      <w:r w:rsidR="36D394A6" w:rsidRPr="00B97967">
        <w:rPr>
          <w:rFonts w:ascii="Times New Roman" w:eastAsia="Times New Roman" w:hAnsi="Times New Roman" w:cs="Times New Roman"/>
        </w:rPr>
        <w:t xml:space="preserve">. </w:t>
      </w:r>
      <w:r w:rsidR="3062C7F0" w:rsidRPr="00B97967">
        <w:rPr>
          <w:rFonts w:ascii="Times New Roman" w:eastAsia="Times New Roman" w:hAnsi="Times New Roman" w:cs="Times New Roman"/>
        </w:rPr>
        <w:t xml:space="preserve">De este modo, se </w:t>
      </w:r>
      <w:r w:rsidR="378F823E" w:rsidRPr="00B97967">
        <w:rPr>
          <w:rFonts w:ascii="Times New Roman" w:eastAsia="Times New Roman" w:hAnsi="Times New Roman" w:cs="Times New Roman"/>
        </w:rPr>
        <w:t xml:space="preserve">han </w:t>
      </w:r>
      <w:r w:rsidR="3062C7F0" w:rsidRPr="00B97967">
        <w:rPr>
          <w:rFonts w:ascii="Times New Roman" w:eastAsia="Times New Roman" w:hAnsi="Times New Roman" w:cs="Times New Roman"/>
        </w:rPr>
        <w:t>produci</w:t>
      </w:r>
      <w:r w:rsidR="1AD9F040" w:rsidRPr="00B97967">
        <w:rPr>
          <w:rFonts w:ascii="Times New Roman" w:eastAsia="Times New Roman" w:hAnsi="Times New Roman" w:cs="Times New Roman"/>
        </w:rPr>
        <w:t>do</w:t>
      </w:r>
      <w:r w:rsidR="3062C7F0" w:rsidRPr="00B97967">
        <w:rPr>
          <w:rFonts w:ascii="Times New Roman" w:eastAsia="Times New Roman" w:hAnsi="Times New Roman" w:cs="Times New Roman"/>
        </w:rPr>
        <w:t xml:space="preserve"> investigaciones </w:t>
      </w:r>
      <w:r w:rsidR="15EDFC6E" w:rsidRPr="00B97967">
        <w:rPr>
          <w:rFonts w:ascii="Times New Roman" w:eastAsia="Times New Roman" w:hAnsi="Times New Roman" w:cs="Times New Roman"/>
        </w:rPr>
        <w:t>en arte y diseño situados en la intersección entre los problemas del contexto y los disciplinares.</w:t>
      </w:r>
    </w:p>
    <w:p w14:paraId="20EC17B8" w14:textId="1AB64E24" w:rsidR="156C0A1E" w:rsidRPr="00B97967" w:rsidRDefault="156C0A1E" w:rsidP="261BEDB5">
      <w:pPr>
        <w:tabs>
          <w:tab w:val="left" w:pos="810"/>
        </w:tabs>
        <w:spacing w:line="360" w:lineRule="auto"/>
        <w:ind w:firstLine="284"/>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 </w:t>
      </w:r>
    </w:p>
    <w:p w14:paraId="0066A401" w14:textId="0BE06C41" w:rsidR="1E66B395" w:rsidRPr="00B97967" w:rsidRDefault="1E66B395" w:rsidP="261BEDB5">
      <w:pPr>
        <w:spacing w:after="120" w:line="360" w:lineRule="auto"/>
        <w:rPr>
          <w:rFonts w:ascii="Times New Roman" w:eastAsia="Times New Roman" w:hAnsi="Times New Roman" w:cs="Times New Roman"/>
          <w:b/>
          <w:bCs/>
          <w:sz w:val="26"/>
          <w:szCs w:val="26"/>
        </w:rPr>
      </w:pPr>
      <w:r w:rsidRPr="00B97967">
        <w:rPr>
          <w:rFonts w:ascii="Times New Roman" w:eastAsia="Times New Roman" w:hAnsi="Times New Roman" w:cs="Times New Roman"/>
          <w:b/>
          <w:bCs/>
          <w:sz w:val="26"/>
          <w:szCs w:val="26"/>
        </w:rPr>
        <w:t>La docencia</w:t>
      </w:r>
    </w:p>
    <w:p w14:paraId="66B6E023" w14:textId="70347358" w:rsidR="1E66B395" w:rsidRPr="00B97967" w:rsidRDefault="1E66B395" w:rsidP="261BEDB5">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En el ámbito docente, es común que la enseñanza se realice a través de un modelo de imitación de prácticas previas. Esto general el que se repliquen enfoques basados en experiencias pasadas, a menudo fundamentadas en los mejores ejemplos obtenidos. </w:t>
      </w:r>
      <w:r w:rsidR="00E91965" w:rsidRPr="00B97967">
        <w:rPr>
          <w:rFonts w:ascii="Times New Roman" w:eastAsia="Times New Roman" w:hAnsi="Times New Roman" w:cs="Times New Roman"/>
        </w:rPr>
        <w:t>No obstante</w:t>
      </w:r>
      <w:r w:rsidRPr="00B97967">
        <w:rPr>
          <w:rFonts w:ascii="Times New Roman" w:eastAsia="Times New Roman" w:hAnsi="Times New Roman" w:cs="Times New Roman"/>
        </w:rPr>
        <w:t xml:space="preserve">, la enseñanza no </w:t>
      </w:r>
      <w:r w:rsidRPr="00B97967">
        <w:rPr>
          <w:rFonts w:ascii="Times New Roman" w:eastAsia="Times New Roman" w:hAnsi="Times New Roman" w:cs="Times New Roman"/>
        </w:rPr>
        <w:lastRenderedPageBreak/>
        <w:t>debe</w:t>
      </w:r>
      <w:r w:rsidR="00E91965" w:rsidRPr="00B97967">
        <w:rPr>
          <w:rFonts w:ascii="Times New Roman" w:eastAsia="Times New Roman" w:hAnsi="Times New Roman" w:cs="Times New Roman"/>
        </w:rPr>
        <w:t>ría</w:t>
      </w:r>
      <w:r w:rsidRPr="00B97967">
        <w:rPr>
          <w:rFonts w:ascii="Times New Roman" w:eastAsia="Times New Roman" w:hAnsi="Times New Roman" w:cs="Times New Roman"/>
        </w:rPr>
        <w:t xml:space="preserve"> limitarse a replicar lo aprendido, sino centrarse en la interpretación de ese conocimiento para su aplicación contextual.</w:t>
      </w:r>
    </w:p>
    <w:p w14:paraId="34D6C394" w14:textId="0553A08C" w:rsidR="1E66B395" w:rsidRPr="00B97967" w:rsidRDefault="1E66B395" w:rsidP="261BEDB5">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De acuerdo con las nuevas políticas en México, los docentes universitarios deben poseer una formación cada vez más robusta, que contemple tanto la adquisición como la actualización de conocimientos. La importancia de la educación es tal, que muchos países han posicionado a la educación superior, como eje central de su desarrollo económico ya que es un espacio fundamental para la adquisición y producción de conocimientos aplicables, incluyendo el desarrollo de habilidades para el trabajo y la investigación, debiendo ser un facilitador del aprendizaje; priorizando la autonomía del estudiante además de la transmisión del conocimiento. Los docentes deben </w:t>
      </w:r>
      <w:r w:rsidR="00E91965" w:rsidRPr="00B97967">
        <w:rPr>
          <w:rFonts w:ascii="Times New Roman" w:eastAsia="Times New Roman" w:hAnsi="Times New Roman" w:cs="Times New Roman"/>
        </w:rPr>
        <w:t xml:space="preserve">orientar su trabajo hacia el desarrollo de competencias pedagógicas las cuales se estructuran en tres dimensiones: </w:t>
      </w:r>
      <w:r w:rsidRPr="00B97967">
        <w:rPr>
          <w:rFonts w:ascii="Times New Roman" w:eastAsia="Times New Roman" w:hAnsi="Times New Roman" w:cs="Times New Roman"/>
        </w:rPr>
        <w:t>cognitivas, socioculturales y profesionalizantes</w:t>
      </w:r>
      <w:r w:rsidR="00E91965" w:rsidRPr="00B97967">
        <w:rPr>
          <w:rFonts w:ascii="Times New Roman" w:eastAsia="Times New Roman" w:hAnsi="Times New Roman" w:cs="Times New Roman"/>
        </w:rPr>
        <w:t xml:space="preserve">. Entre sus funciones principales, destaca el diseño de estrategias de enseñanza aprendizaje, así como la </w:t>
      </w:r>
      <w:r w:rsidR="00AB7BF1" w:rsidRPr="00B97967">
        <w:rPr>
          <w:rFonts w:ascii="Times New Roman" w:eastAsia="Times New Roman" w:hAnsi="Times New Roman" w:cs="Times New Roman"/>
        </w:rPr>
        <w:t>búsqueda</w:t>
      </w:r>
      <w:r w:rsidR="00E91965" w:rsidRPr="00B97967">
        <w:rPr>
          <w:rFonts w:ascii="Times New Roman" w:eastAsia="Times New Roman" w:hAnsi="Times New Roman" w:cs="Times New Roman"/>
        </w:rPr>
        <w:t xml:space="preserve"> y preparación de recursos y materiales didácticos adecuados. Además, es esencial que motiven a los estudiantes y faciliten la comprensión de los conocimientos básicos. Los docentes </w:t>
      </w:r>
      <w:r w:rsidR="00AB7BF1" w:rsidRPr="00B97967">
        <w:rPr>
          <w:rFonts w:ascii="Times New Roman" w:eastAsia="Times New Roman" w:hAnsi="Times New Roman" w:cs="Times New Roman"/>
        </w:rPr>
        <w:t>también</w:t>
      </w:r>
      <w:r w:rsidR="00E91965" w:rsidRPr="00B97967">
        <w:rPr>
          <w:rFonts w:ascii="Times New Roman" w:eastAsia="Times New Roman" w:hAnsi="Times New Roman" w:cs="Times New Roman"/>
        </w:rPr>
        <w:t xml:space="preserve"> deben </w:t>
      </w:r>
      <w:r w:rsidR="00AB7BF1" w:rsidRPr="00B97967">
        <w:rPr>
          <w:rFonts w:ascii="Times New Roman" w:eastAsia="Times New Roman" w:hAnsi="Times New Roman" w:cs="Times New Roman"/>
        </w:rPr>
        <w:t>asumir un rol de tutores permanentes, fomentando actitudes que respondan a las demandas de la sociedad de la información.</w:t>
      </w:r>
    </w:p>
    <w:p w14:paraId="270BB52B" w14:textId="0731F71C" w:rsidR="00AB7BF1" w:rsidRPr="00B97967" w:rsidRDefault="00AB7BF1" w:rsidP="00AB7BF1">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La formación continua y permanente es otro pilar de su labor, ya que les permite ofrecer una educación integral que engloba conocimientos, procedimientos y actitudes. A su vez, es fundamental que los educadores desarrollen habilidades para mejorar su práctica docente, vinculándose con el entorno para conocer el mercado laboral al que se integraran los estudiantes. Asimismo, deberán estar al tanto del impacto de la ciencia y la tecnología para manejar nuevas herramientas tecnológicas de manera efectiva. Finalmente, una cultura de autoevaluación crítica y constante es imprescindible para mejorar continuamente su desempeño en el aula.</w:t>
      </w:r>
    </w:p>
    <w:p w14:paraId="5B0CBE0A" w14:textId="13111D09" w:rsidR="00AB7BF1" w:rsidRPr="00B97967" w:rsidRDefault="001D1773" w:rsidP="00AB7BF1">
      <w:pPr>
        <w:spacing w:after="120" w:line="360" w:lineRule="auto"/>
        <w:rPr>
          <w:rFonts w:ascii="Times New Roman" w:eastAsia="Times New Roman" w:hAnsi="Times New Roman" w:cs="Times New Roman"/>
        </w:rPr>
      </w:pPr>
      <w:r w:rsidRPr="00B97967">
        <w:rPr>
          <w:rFonts w:ascii="Times New Roman" w:eastAsia="Times New Roman" w:hAnsi="Times New Roman" w:cs="Times New Roman"/>
        </w:rPr>
        <w:t>Es fundamental destacar de que, a pesar de los cambios importantes que están teniendo lugar en las instituciones universitarias, los niveles educativos básico y medio superior no progresan con la misma rapidez. Esta situación agravada por la pandemia del COVID-19, intensifica los problemas previamente identificados. Por lo tanto, resulta imperativo modificar el enfoque educativo tradicional; es necesario que los estudiantes, aborden sus áreas de estudio mediante la investigación de campo y aplicada, acompañada de procesos reflexivos, ensayos y análisis.</w:t>
      </w:r>
    </w:p>
    <w:p w14:paraId="4B49A683" w14:textId="53239C3D" w:rsidR="1E66B395" w:rsidRPr="00B97967" w:rsidRDefault="1E66B395"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lastRenderedPageBreak/>
        <w:t xml:space="preserve">Históricamente, la libertad de enseñanza se sustenta en la confianza depositada en el profesor como autoridad en su área disciplinar. Las universidades en México usualmente cuentan con diferentes perfiles que nutren su planta docente los más comunes suelen ser: </w:t>
      </w:r>
    </w:p>
    <w:p w14:paraId="4DEE95E9" w14:textId="77777777" w:rsidR="00303586" w:rsidRPr="00B97967" w:rsidRDefault="00303586" w:rsidP="261BEDB5">
      <w:pPr>
        <w:spacing w:line="360" w:lineRule="auto"/>
        <w:rPr>
          <w:rFonts w:ascii="Times New Roman" w:eastAsia="Times New Roman" w:hAnsi="Times New Roman" w:cs="Times New Roman"/>
        </w:rPr>
      </w:pPr>
    </w:p>
    <w:p w14:paraId="569C43B1" w14:textId="730B7663" w:rsidR="1E66B395" w:rsidRPr="00B97967" w:rsidRDefault="1E66B395"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Perfil profesionalizante; las características de un profesionista incluyen conocimientos, habilidades y actitudes. Esto implica dominar y conocer en el campo laboral del área disciplinar, también llamados de horas clase o bien de honorarios, este grupo de profesores son el enlace con el mercado laboral. Debido a que su participación se limita a solo las horas frente a grupo es poco probable que se involucre en el contenido y desarrollo de planes de estudio, y aún y cuando deberá seguir un contenido específico dentro de la carta descriptiva; esta actividad no siempre es supervisada. De igual forma, no sé solicita una capacitación pedagógica sobre la enseñanza- aprendizaje, ya que el mayor interés de las instituciones es que compartan su experiencia </w:t>
      </w:r>
      <w:r w:rsidR="001D1773" w:rsidRPr="00B97967">
        <w:rPr>
          <w:rFonts w:ascii="Times New Roman" w:eastAsia="Times New Roman" w:hAnsi="Times New Roman" w:cs="Times New Roman"/>
        </w:rPr>
        <w:t>desde e</w:t>
      </w:r>
      <w:r w:rsidRPr="00B97967">
        <w:rPr>
          <w:rFonts w:ascii="Times New Roman" w:eastAsia="Times New Roman" w:hAnsi="Times New Roman" w:cs="Times New Roman"/>
        </w:rPr>
        <w:t>l ámbito profesional.</w:t>
      </w:r>
    </w:p>
    <w:p w14:paraId="489A29B5" w14:textId="77777777" w:rsidR="00303586" w:rsidRPr="00B97967" w:rsidRDefault="00303586" w:rsidP="261BEDB5">
      <w:pPr>
        <w:spacing w:line="360" w:lineRule="auto"/>
        <w:rPr>
          <w:rFonts w:ascii="Times New Roman" w:eastAsia="Times New Roman" w:hAnsi="Times New Roman" w:cs="Times New Roman"/>
        </w:rPr>
      </w:pPr>
    </w:p>
    <w:p w14:paraId="7BBDEBCE" w14:textId="7B7CA9A9" w:rsidR="1E66B395" w:rsidRPr="00B97967" w:rsidRDefault="1E66B395"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Perfil docente; su contratación puede ser de medio tiempo o tiempo completo, y puede ser que su nivel de estudios quede en el inmediato superior al que imparte clases. La visión de este perfil es claramente educadora fundamenta actitudes, ideales de conducta, tipos de carácter, mentalidad. </w:t>
      </w:r>
      <w:r w:rsidR="00303586" w:rsidRPr="00B97967">
        <w:rPr>
          <w:rFonts w:ascii="Times New Roman" w:eastAsia="Times New Roman" w:hAnsi="Times New Roman" w:cs="Times New Roman"/>
        </w:rPr>
        <w:t>En este perfil, el docente asume el rol de guía y facilitador de la información conforme a los nuevos modelos de educación que las instituciones establecen. El profesor deja de ser el único depositario y transmisor de conocimientos. Para cumplir con esta función, resulta ideal que posea un horizonte de conocimientos más amplio que el propio de su disciplina específica.</w:t>
      </w:r>
    </w:p>
    <w:p w14:paraId="3BABC70E" w14:textId="77777777" w:rsidR="00303586" w:rsidRPr="00B97967" w:rsidRDefault="00303586" w:rsidP="261BEDB5">
      <w:pPr>
        <w:spacing w:line="360" w:lineRule="auto"/>
        <w:rPr>
          <w:rFonts w:ascii="Times New Roman" w:eastAsia="Times New Roman" w:hAnsi="Times New Roman" w:cs="Times New Roman"/>
        </w:rPr>
      </w:pPr>
    </w:p>
    <w:p w14:paraId="7EAB228B" w14:textId="22026D6F" w:rsidR="1E66B395" w:rsidRPr="00B97967" w:rsidRDefault="1E66B395"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Perfil Investigador científico; usualmente son los profesores de tiempo completo, ya que la misión de las universidades es promover la generación y difusión del conocimiento éste deberá contar con evidencia de estudios de posgrados como: especialidad, maestría y/o doctorado, ya que es el nivel en donde se establecen las bases para la investigación. Este perfil no está exento de contar con las capacidades mencionadas en los perfiles anteriores, recayendo en este tanto la formación disciplinar como la de investigación</w:t>
      </w:r>
      <w:r w:rsidR="00303586" w:rsidRPr="00B97967">
        <w:rPr>
          <w:rFonts w:ascii="Times New Roman" w:eastAsia="Times New Roman" w:hAnsi="Times New Roman" w:cs="Times New Roman"/>
        </w:rPr>
        <w:t xml:space="preserve"> y generación de nuevo conocimiento.</w:t>
      </w:r>
    </w:p>
    <w:p w14:paraId="4B9F7637" w14:textId="40744D59" w:rsidR="1E66B395" w:rsidRPr="00B97967" w:rsidRDefault="1E66B395"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Sin </w:t>
      </w:r>
      <w:r w:rsidR="00056C22" w:rsidRPr="00B97967">
        <w:rPr>
          <w:rFonts w:ascii="Times New Roman" w:eastAsia="Times New Roman" w:hAnsi="Times New Roman" w:cs="Times New Roman"/>
        </w:rPr>
        <w:t>embargo,</w:t>
      </w:r>
      <w:r w:rsidR="00303586" w:rsidRPr="00B97967">
        <w:rPr>
          <w:rFonts w:ascii="Times New Roman" w:eastAsia="Times New Roman" w:hAnsi="Times New Roman" w:cs="Times New Roman"/>
        </w:rPr>
        <w:t xml:space="preserve"> cabe hacer </w:t>
      </w:r>
      <w:r w:rsidR="00056C22" w:rsidRPr="00B97967">
        <w:rPr>
          <w:rFonts w:ascii="Times New Roman" w:eastAsia="Times New Roman" w:hAnsi="Times New Roman" w:cs="Times New Roman"/>
        </w:rPr>
        <w:t>mención</w:t>
      </w:r>
      <w:r w:rsidR="00303586" w:rsidRPr="00B97967">
        <w:rPr>
          <w:rFonts w:ascii="Times New Roman" w:eastAsia="Times New Roman" w:hAnsi="Times New Roman" w:cs="Times New Roman"/>
        </w:rPr>
        <w:t>,</w:t>
      </w:r>
      <w:r w:rsidRPr="00B97967">
        <w:rPr>
          <w:rFonts w:ascii="Times New Roman" w:eastAsia="Times New Roman" w:hAnsi="Times New Roman" w:cs="Times New Roman"/>
        </w:rPr>
        <w:t xml:space="preserve"> que los programas educativos, debido a su arraigada tradición disciplinar, ha sido complicado el desarrollo de la investigación en la enseñanza aprendizaje tanto en estudiantes como en docentes.  </w:t>
      </w:r>
    </w:p>
    <w:p w14:paraId="3F9EC9E0" w14:textId="1232833B" w:rsidR="1E66B395" w:rsidRPr="00B97967" w:rsidRDefault="1E66B395"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lastRenderedPageBreak/>
        <w:t xml:space="preserve">Desde esta perspectiva, la investigación no debería estar desvinculada de la enseñanza disciplinar, ya que se entiende que la investigación implica descubrir, indagar, observar, o llevar a cabo actividades intelectuales y experimentales de forma sistemática. Su objetivo es ampliar o mejorar el conocimiento sobre un área específica. </w:t>
      </w:r>
      <w:r w:rsidR="00303586" w:rsidRPr="00B97967">
        <w:rPr>
          <w:rFonts w:ascii="Times New Roman" w:eastAsia="Times New Roman" w:hAnsi="Times New Roman" w:cs="Times New Roman"/>
        </w:rPr>
        <w:t xml:space="preserve">Asimismo, la ciencia procura que este conjunto de conocimientos investigados facilite la formulación de leyes, conceptos o principios mismos que puedan ser verificados experimentalmente </w:t>
      </w:r>
      <w:r w:rsidR="003B41BA" w:rsidRPr="00B97967">
        <w:rPr>
          <w:rFonts w:ascii="Times New Roman" w:eastAsia="Times New Roman" w:hAnsi="Times New Roman" w:cs="Times New Roman"/>
        </w:rPr>
        <w:t>y buscar la capacidad de predicción.</w:t>
      </w:r>
    </w:p>
    <w:p w14:paraId="4D2C210D" w14:textId="77777777" w:rsidR="00EF2701" w:rsidRPr="00B97967" w:rsidRDefault="00EF2701" w:rsidP="261BEDB5">
      <w:pPr>
        <w:spacing w:line="360" w:lineRule="auto"/>
        <w:rPr>
          <w:rFonts w:ascii="Times New Roman" w:eastAsia="Times New Roman" w:hAnsi="Times New Roman" w:cs="Times New Roman"/>
        </w:rPr>
      </w:pPr>
    </w:p>
    <w:p w14:paraId="50062D23" w14:textId="77777777" w:rsidR="00EF2701" w:rsidRPr="00B97967" w:rsidRDefault="003B41BA"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Al reflexionar sobre estos conceptos, podemos inferir que la investigación constituye una acción inherente al ser humano. Estamos constantemente inmersos en procesos investigativos, aunque no siempre somos plenamente conscientes de ello. Esto se debe a que, al no estructurar dichas acciones de manera sistemática, resulta complicado reflexionar sobre el proceso que nos llevó a tomar decisiones y, en consecuencia, al resultado obtenido, sea cual sea este.</w:t>
      </w:r>
      <w:r w:rsidR="00EF2701" w:rsidRPr="00B97967">
        <w:rPr>
          <w:rFonts w:ascii="Times New Roman" w:eastAsia="Times New Roman" w:hAnsi="Times New Roman" w:cs="Times New Roman"/>
        </w:rPr>
        <w:t xml:space="preserve"> La complejidad de esta tarea comienza en el ámbito académico, donde se debate si es necesario enseñar la investigación, especialmente al considerar que en los posgrados se fomenta, mientras que en el pregrado no se enfatiza tanto. </w:t>
      </w:r>
    </w:p>
    <w:p w14:paraId="596B8D42" w14:textId="1827F6A1" w:rsidR="00EF2701" w:rsidRPr="00B97967" w:rsidRDefault="00EF2701" w:rsidP="00EF2701">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Esta postura perece ignorar que el conocimiento científico surge en gran medida del conocimiento empírico; que los procesos inductivo y deductivo están profundamente interrelacionados. Ante la realidad, los datos presentados nos llevan a utilizar la inducción para formular suposiciones o hipótesis. Estas, mediante la deducción nos permiten organizar la información en teorías, leyes y modelos mismos que podrían someterse a prueba en el mundo real. A pesar de que la realidad de cada individuo es diferente, es a través de estos procesos que se pueden comprender los fenómenos observados.</w:t>
      </w:r>
    </w:p>
    <w:p w14:paraId="0DAFA605" w14:textId="3C226038" w:rsidR="261BEDB5" w:rsidRPr="00B97967" w:rsidRDefault="261BEDB5" w:rsidP="261BEDB5">
      <w:pPr>
        <w:spacing w:line="360" w:lineRule="auto"/>
        <w:ind w:firstLine="720"/>
        <w:rPr>
          <w:rFonts w:ascii="Times New Roman" w:eastAsia="Times New Roman" w:hAnsi="Times New Roman" w:cs="Times New Roman"/>
        </w:rPr>
      </w:pPr>
    </w:p>
    <w:p w14:paraId="512DFCB1" w14:textId="7F99F3B0" w:rsidR="22F2532C" w:rsidRPr="00B97967" w:rsidRDefault="22F2532C" w:rsidP="261BEDB5">
      <w:pPr>
        <w:spacing w:line="360" w:lineRule="auto"/>
        <w:rPr>
          <w:rFonts w:ascii="Times New Roman" w:eastAsia="Times New Roman" w:hAnsi="Times New Roman" w:cs="Times New Roman"/>
          <w:b/>
          <w:bCs/>
          <w:color w:val="215E99" w:themeColor="text2" w:themeTint="BF"/>
          <w:sz w:val="26"/>
          <w:szCs w:val="26"/>
        </w:rPr>
      </w:pPr>
      <w:r w:rsidRPr="00B97967">
        <w:rPr>
          <w:rFonts w:ascii="Times New Roman" w:eastAsia="Times New Roman" w:hAnsi="Times New Roman" w:cs="Times New Roman"/>
          <w:b/>
          <w:bCs/>
          <w:sz w:val="26"/>
          <w:szCs w:val="26"/>
        </w:rPr>
        <w:t>Solo pueden investigar aquellos que cuentan con estudios de posgrado</w:t>
      </w:r>
    </w:p>
    <w:p w14:paraId="536443B2" w14:textId="4A5CC851" w:rsidR="5BC762FF" w:rsidRPr="00B97967" w:rsidRDefault="22F2532C"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La capacidad de realizar investigaciones parece estar restringida aquellos con estudios de posgrado. Sin embargo, si consideramos que la investigación es un componente inherente al desarrollo humano, surge la pregunta de por qué la enseñanza de las prácticas investigativas debería clasificarse de manera tan restrictiva. Esta noción de que únicamente quienes poseen formación de un posgrado están habilitados para llevar a cabo y comprender procesos formales, así como la terminología específica asociada, puede perpetuar una segregación en el aprendizaje de estas competencias.</w:t>
      </w:r>
      <w:r w:rsidR="46A94D1E" w:rsidRPr="00B97967">
        <w:rPr>
          <w:rFonts w:ascii="Times New Roman" w:eastAsia="Times New Roman" w:hAnsi="Times New Roman" w:cs="Times New Roman"/>
        </w:rPr>
        <w:t xml:space="preserve"> </w:t>
      </w:r>
    </w:p>
    <w:p w14:paraId="03565AA4" w14:textId="73BD0588" w:rsidR="22F2532C" w:rsidRPr="00B97967" w:rsidRDefault="22F2532C"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lastRenderedPageBreak/>
        <w:t>Cuando un profesor imparte un curso siempre ofrece reflexiones sobre su experiencia al finalizar, ya sean positivas o negativas. Si el docente vuelve a enseñar el mismo curso en ocasiones posteriores, puede establecer comparaciones. A pesar de que los contenidos permanezcan constantes, cada grupo se convierte en una entidad única e irrepetible debido a la variabilidad de los estudiantes, el entorno, la tecnología, las dinámicas sociales, las demandas laborares, lo que convierte al aula en un contexto ideal para la investigación. Este proceso puede servir como punto de partida para el profesor, independientemente de su nivel académico, y formule observaciones que contribuyan a la mejora continua no solo responde a un requisito institucional, sino que trata de un proceso personal, en el que se puede identificar múltiples áreas de oportunidad para el desarrollo tales como:</w:t>
      </w:r>
    </w:p>
    <w:p w14:paraId="1BF20E41" w14:textId="09F6D257" w:rsidR="22F2532C" w:rsidRPr="00B97967" w:rsidRDefault="22F2532C"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 xml:space="preserve">Desde la perspectiva del Diseño de la Planeación Didáctica, es crucial cuestionar cómo y de qué forma los estudiantes aprenderán de manera efectiva, así como explorar métodos que fomenten la reflexión y aseguren una mejor retención del conocimiento. La forma en la que se busca estructurar cada componente de esta sección es esencial para establecer el primer vínculo de comunicación con el estudiante. Para lograrlo, se recurre a reuniones de grupos académicos, donde se dialoga con colegas sobre experiencias previas y temas actuales que persiguen un objetivo común. Además, se participa en cursos, seminarios y talleres, así como en conversaciones con otros docentes que comparten sus experiencias sobre dificultades pasadas, y las estrategias empleadas para superarlas. </w:t>
      </w:r>
    </w:p>
    <w:p w14:paraId="21F8FE54" w14:textId="7265A851" w:rsidR="22F2532C" w:rsidRPr="00B97967" w:rsidRDefault="22F2532C"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El Diseño y Desarrollo de Dinámicas, es decir; del material que el docente utiliza diariamente, representa una tarea significativa que demanda un desarrollo de investigación exhaustivo. Esto implica búsqueda y análisis de los temas más recientes, así como la inclusión de ejemplos globales adaptados a un contexto local, lo cual requiere un considerable esfuerzo.</w:t>
      </w:r>
    </w:p>
    <w:p w14:paraId="1AE0B9C5" w14:textId="757D4958" w:rsidR="22F2532C" w:rsidRPr="00B97967" w:rsidRDefault="22F2532C"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Asimismo, el Diseño de rúbricas es una tarea esencial que se relaciona con la evaluación del impacto de los resultados obtenidos en el trabajo realizado. Este proceso puede abarcar desde la definición de procedimientos, y métodos hasta el diseño de modelos: es fundamental identificar los indicadores, conocer las variables y establecer los rangos de valoración ya sea cualitativos, cuantitativos o mixtos. Todo esto tiene como objetivo garantizar que se disponga de la evidencia adecuada sobre lo que se está midiendo y la forma en la que se está evaluando.</w:t>
      </w:r>
    </w:p>
    <w:p w14:paraId="672B93F7" w14:textId="6EEE17CA" w:rsidR="22F2532C" w:rsidRPr="00B97967" w:rsidRDefault="22F2532C"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 xml:space="preserve">Desde esta perspectiva podríamos decir que todos los docentes, hacen y generan investigación, sin importar en qué nivel académico se imparta catedra, o bien el nivel de formación que tenga el </w:t>
      </w:r>
      <w:r w:rsidRPr="00B97967">
        <w:rPr>
          <w:rFonts w:ascii="Times New Roman" w:eastAsia="Times New Roman" w:hAnsi="Times New Roman" w:cs="Times New Roman"/>
        </w:rPr>
        <w:lastRenderedPageBreak/>
        <w:t>docente. La problemática podría radicar en pensar que el desarrollo profesional o requiere de la investigación científica y que la investigación científica es aquella que se centra en el desarrollo teórico para generar conocimiento.</w:t>
      </w:r>
    </w:p>
    <w:p w14:paraId="127968C7" w14:textId="51F4ABF6" w:rsidR="5BC762FF" w:rsidRPr="00B97967" w:rsidRDefault="5BC762FF" w:rsidP="261BEDB5">
      <w:pPr>
        <w:spacing w:line="360" w:lineRule="auto"/>
        <w:rPr>
          <w:rFonts w:ascii="Times New Roman" w:eastAsia="Times New Roman" w:hAnsi="Times New Roman" w:cs="Times New Roman"/>
          <w:color w:val="215E99" w:themeColor="text2" w:themeTint="BF"/>
        </w:rPr>
      </w:pPr>
    </w:p>
    <w:p w14:paraId="2F37DA72" w14:textId="58617188" w:rsidR="4F31CABA" w:rsidRPr="00B97967" w:rsidRDefault="4F31CABA" w:rsidP="261BEDB5">
      <w:pPr>
        <w:spacing w:line="360" w:lineRule="auto"/>
        <w:rPr>
          <w:rFonts w:ascii="Times New Roman" w:eastAsia="Times New Roman" w:hAnsi="Times New Roman" w:cs="Times New Roman"/>
          <w:color w:val="215E99" w:themeColor="text2" w:themeTint="BF"/>
          <w:sz w:val="26"/>
          <w:szCs w:val="26"/>
        </w:rPr>
      </w:pPr>
      <w:r w:rsidRPr="00B97967">
        <w:rPr>
          <w:rFonts w:ascii="Times New Roman" w:eastAsia="Times New Roman" w:hAnsi="Times New Roman" w:cs="Times New Roman"/>
          <w:b/>
          <w:bCs/>
          <w:sz w:val="26"/>
          <w:szCs w:val="26"/>
        </w:rPr>
        <w:t>La cultura del Bueno y del Malo</w:t>
      </w:r>
      <w:r w:rsidRPr="00B97967">
        <w:rPr>
          <w:rFonts w:ascii="Times New Roman" w:eastAsia="Times New Roman" w:hAnsi="Times New Roman" w:cs="Times New Roman"/>
          <w:sz w:val="26"/>
          <w:szCs w:val="26"/>
        </w:rPr>
        <w:t xml:space="preserve"> </w:t>
      </w:r>
    </w:p>
    <w:p w14:paraId="64AA1E1F" w14:textId="6CFDA5D6" w:rsidR="4F31CABA" w:rsidRPr="00B97967" w:rsidRDefault="4F31CABA"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 xml:space="preserve">De igual modo, esta segmentación en la investigación también nos diferencia desde una formación cultural que se da en México; un claro ejemplo es como un bebé empieza a descubrir el mundo, este aprendizaje puede estar limitado o potencializado dependiendo de sus instructores (padres). Las limitaciones sobre el cómo aprendemos a aprender recaen sobre estas figuras paternas; ya que como afirmaba </w:t>
      </w:r>
      <w:r w:rsidR="143404E9" w:rsidRPr="00B97967">
        <w:rPr>
          <w:rFonts w:ascii="Times New Roman" w:eastAsia="Times New Roman" w:hAnsi="Times New Roman" w:cs="Times New Roman"/>
        </w:rPr>
        <w:t>Vygotsky</w:t>
      </w:r>
      <w:r w:rsidRPr="00B97967">
        <w:rPr>
          <w:rFonts w:ascii="Times New Roman" w:eastAsia="Times New Roman" w:hAnsi="Times New Roman" w:cs="Times New Roman"/>
        </w:rPr>
        <w:t xml:space="preserve"> …estos procesos ocurren tanto a nivel </w:t>
      </w:r>
      <w:r w:rsidR="00971764" w:rsidRPr="00B97967">
        <w:rPr>
          <w:rFonts w:ascii="Times New Roman" w:eastAsia="Times New Roman" w:hAnsi="Times New Roman" w:cs="Times New Roman"/>
        </w:rPr>
        <w:t>micro social</w:t>
      </w:r>
      <w:r w:rsidRPr="00B97967">
        <w:rPr>
          <w:rFonts w:ascii="Times New Roman" w:eastAsia="Times New Roman" w:hAnsi="Times New Roman" w:cs="Times New Roman"/>
        </w:rPr>
        <w:t xml:space="preserve"> (como las interacciones familiares y escolares) como </w:t>
      </w:r>
      <w:r w:rsidR="05E2FE1F" w:rsidRPr="00B97967">
        <w:rPr>
          <w:rFonts w:ascii="Times New Roman" w:eastAsia="Times New Roman" w:hAnsi="Times New Roman" w:cs="Times New Roman"/>
        </w:rPr>
        <w:t>macrosocial</w:t>
      </w:r>
      <w:r w:rsidRPr="00B97967">
        <w:rPr>
          <w:rFonts w:ascii="Times New Roman" w:eastAsia="Times New Roman" w:hAnsi="Times New Roman" w:cs="Times New Roman"/>
        </w:rPr>
        <w:t xml:space="preserve"> (como la comunidad y las instituciones educativas).</w:t>
      </w:r>
    </w:p>
    <w:p w14:paraId="14192065" w14:textId="1CD14E1C" w:rsidR="4F31CABA" w:rsidRPr="00B97967" w:rsidRDefault="0117865B"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De este modo, las limitaciones pueden empezar desde casa, vinculándolas a la conducta y comportamiento de los individuos, para posteriormente al ámbito escolar, ya que existe una fuerte acepción cultural sobre lo bueno y lo malo ante la figura adulta. Un ejemplo de ello es: el nivel de obediencia estará directamente relacionado al calificativo de bueno o malo; es decir serás calificado como bueno, en la medida de que obedezcas, hables solo cuando sea permitido, te portes bien, no contestes, no preguntes, no reniegues. Esta conducta de obediencia entendida como respeto, es manejada desde los primeros años de vida, y de caer en lo opuesto serás calificado con el termino de malo, replicando estas conductas en las escuelas. Hay baja tolerancia al ser cuestionado, al no coincidir con las opiniones de quien está a cargo, a buscar profundizar desde diferentes perspectivas; es fácil caer en estados de incomodidad tipificando esta situación como una falta de respeto orientada a la   percepción de que ese individuo o alumno es lo malo.</w:t>
      </w:r>
    </w:p>
    <w:p w14:paraId="53614F54" w14:textId="499433AE" w:rsidR="4F31CABA" w:rsidRPr="00B97967" w:rsidRDefault="0117865B"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 xml:space="preserve">No ahondaremos en las definiciones de cada uno de estos términos, simplemente se plantea el hecho de la limitación y expresión a la cual la mayoría de las escuelas públicas enarbolan las acepciones sobre los términos de ser bueno en la medida de la obediencia y el ser malo en la medida del cuestionamiento de esa obediencia. </w:t>
      </w:r>
    </w:p>
    <w:p w14:paraId="6CC834B6" w14:textId="75F9EE1E" w:rsidR="4F31CABA" w:rsidRPr="00B97967" w:rsidRDefault="0117865B"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Entonces ¿cómo afecta esta tipificación en el área educativa? Si la formación básica estuvo centrada en atender y acatar indicaciones y cuando se llega a un nivel superior o de posgrado se busca que los estudiantes piensen, reflexionen, cuestiones, indaguen, etc.,</w:t>
      </w:r>
    </w:p>
    <w:p w14:paraId="3BEBFEC8" w14:textId="4F65FC8B" w:rsidR="4F31CABA" w:rsidRPr="00B97967" w:rsidRDefault="4F31CABA" w:rsidP="261BEDB5">
      <w:pPr>
        <w:spacing w:line="360" w:lineRule="auto"/>
        <w:rPr>
          <w:rFonts w:ascii="Times New Roman" w:eastAsia="Times New Roman" w:hAnsi="Times New Roman" w:cs="Times New Roman"/>
          <w:color w:val="215E99" w:themeColor="text2" w:themeTint="BF"/>
        </w:rPr>
      </w:pPr>
    </w:p>
    <w:p w14:paraId="0996769C" w14:textId="7A0758FF" w:rsidR="11CC78D5" w:rsidRPr="00B97967" w:rsidRDefault="11CC78D5" w:rsidP="261BEDB5">
      <w:pPr>
        <w:spacing w:line="360" w:lineRule="auto"/>
        <w:rPr>
          <w:rFonts w:ascii="Times New Roman" w:eastAsia="Times New Roman" w:hAnsi="Times New Roman" w:cs="Times New Roman"/>
          <w:color w:val="215E99" w:themeColor="text2" w:themeTint="BF"/>
          <w:sz w:val="26"/>
          <w:szCs w:val="26"/>
        </w:rPr>
      </w:pPr>
      <w:r w:rsidRPr="00B97967">
        <w:rPr>
          <w:rFonts w:ascii="Times New Roman" w:eastAsia="Times New Roman" w:hAnsi="Times New Roman" w:cs="Times New Roman"/>
          <w:b/>
          <w:bCs/>
          <w:sz w:val="26"/>
          <w:szCs w:val="26"/>
        </w:rPr>
        <w:lastRenderedPageBreak/>
        <w:t>Para investigar hay que sufrir</w:t>
      </w:r>
      <w:r w:rsidRPr="00B97967">
        <w:rPr>
          <w:rFonts w:ascii="Times New Roman" w:eastAsia="Times New Roman" w:hAnsi="Times New Roman" w:cs="Times New Roman"/>
          <w:sz w:val="26"/>
          <w:szCs w:val="26"/>
        </w:rPr>
        <w:t xml:space="preserve"> </w:t>
      </w:r>
    </w:p>
    <w:p w14:paraId="07BF851A" w14:textId="74C934F2" w:rsidR="5668BCB6" w:rsidRPr="00B97967" w:rsidRDefault="5668BCB6"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La percepción idealizada del estudiante en instituciones de educación superior y posgrado suele asumir que: debe ser autodidacta, reflexivo, crítico, inquisitivo y capaz de emitir opiniones desde el inicio de sus estudios. Esta visión genera una división entre el ejercicio profesional y el de la investigación, posicionando a esta última como un ámbito inaccesible, reservada solo para unos cuantos.</w:t>
      </w:r>
    </w:p>
    <w:p w14:paraId="50A281F6" w14:textId="036C7C2C" w:rsidR="5668BCB6" w:rsidRPr="00B97967" w:rsidRDefault="5668BCB6"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Con el tiempo, estos paradigmas tienden a consolidarse, creando una percepción de dificultad para poder aprobar esta área; la complejidad se distribuye a diversas razones: la selección y estructuración de un tema, la búsqueda de la sistematización, la proyección de los alcances y el trabajo con procesos y métodos. Además, se espera que él estudiante desarrolle teorías y aporte nuevo conocimiento a la humanidad. Esta expectativa puede resultar abrumadora, ya que, tras años de seguir instrucciones, se exige que él estudiante emita opiniones fundamentadas y sólidas, con respaldo teórico y epistemológico transitando de un método inductivo a un método deductivo. Todo ello ocurre, a menudo, sin la guía necesaria para conectar dichos procesos con su disciplina y el campo laboral en el que aspira desempeñarse</w:t>
      </w:r>
      <w:r w:rsidR="5A0863B5" w:rsidRPr="00B97967">
        <w:rPr>
          <w:rFonts w:ascii="Times New Roman" w:eastAsia="Times New Roman" w:hAnsi="Times New Roman" w:cs="Times New Roman"/>
        </w:rPr>
        <w:t>.</w:t>
      </w:r>
    </w:p>
    <w:p w14:paraId="1F2E9B77" w14:textId="425C0FFF" w:rsidR="5A0863B5" w:rsidRPr="00B97967" w:rsidRDefault="5A0863B5" w:rsidP="261BEDB5">
      <w:pPr>
        <w:spacing w:line="360" w:lineRule="auto"/>
        <w:rPr>
          <w:rFonts w:ascii="Times New Roman" w:eastAsia="Times New Roman" w:hAnsi="Times New Roman" w:cs="Times New Roman"/>
        </w:rPr>
      </w:pPr>
      <w:r w:rsidRPr="00B97967">
        <w:rPr>
          <w:rFonts w:ascii="Times New Roman" w:eastAsia="Times New Roman" w:hAnsi="Times New Roman" w:cs="Times New Roman"/>
        </w:rPr>
        <w:t>Mientras buscamos que los egresados cumplan con las demandas del entorno laboral para facilitar su inversión, las complejas problemáticas del contexto parecen quedar fuera de nuestra responsabilidad. Esto lleva a que la idea de realizar investigación se perciba como un proceso inevitablemente arduo. Comentarios de los estudiantes como: ¿Por qué debería investigar si quiero ser diseñador/ artista?” o de docentes señalando que “No todos los estudiantes serán investigadores, “¿Por qué tendrían que aprender a investigar?” Aquí se refleja esta división que existe en torno al quehacer investigativo asumiendo que la investigación su único fin es desarrollar el proyecto de una tesis tesina o proyecto de investigación. Como resultado los estudiantes al no ver una conexión directa entre la investigación y el campo para el que se están formando, no lo consideran un componente natural en su aprendizaje, percibiéndolo como algo innecesario y por ende impuesto.</w:t>
      </w:r>
    </w:p>
    <w:p w14:paraId="5F8008DA" w14:textId="77777777" w:rsidR="00B97967" w:rsidRPr="00B97967" w:rsidRDefault="00B97967" w:rsidP="261BEDB5">
      <w:pPr>
        <w:spacing w:line="360" w:lineRule="auto"/>
        <w:rPr>
          <w:rFonts w:ascii="Times New Roman" w:eastAsia="Times New Roman" w:hAnsi="Times New Roman" w:cs="Times New Roman"/>
          <w:b/>
          <w:bCs/>
        </w:rPr>
      </w:pPr>
    </w:p>
    <w:p w14:paraId="494E3456" w14:textId="63AF84A1" w:rsidR="00B97967" w:rsidRPr="00B97967" w:rsidRDefault="00B97967" w:rsidP="261BEDB5">
      <w:pPr>
        <w:spacing w:line="360" w:lineRule="auto"/>
        <w:rPr>
          <w:rFonts w:ascii="Times New Roman" w:eastAsia="Times New Roman" w:hAnsi="Times New Roman" w:cs="Times New Roman"/>
          <w:b/>
          <w:bCs/>
        </w:rPr>
      </w:pPr>
      <w:r w:rsidRPr="00B97967">
        <w:rPr>
          <w:rFonts w:ascii="Times New Roman" w:eastAsia="Times New Roman" w:hAnsi="Times New Roman" w:cs="Times New Roman"/>
          <w:b/>
          <w:bCs/>
        </w:rPr>
        <w:t>Conclusiones</w:t>
      </w:r>
    </w:p>
    <w:p w14:paraId="351523EB" w14:textId="562CD8F2" w:rsidR="1CA0C9BE" w:rsidRPr="00B97967" w:rsidRDefault="1CA0C9BE" w:rsidP="261BEDB5">
      <w:pPr>
        <w:spacing w:line="360" w:lineRule="auto"/>
        <w:rPr>
          <w:rFonts w:ascii="Times New Roman" w:eastAsia="Times New Roman" w:hAnsi="Times New Roman" w:cs="Times New Roman"/>
          <w:color w:val="215E99" w:themeColor="text2" w:themeTint="BF"/>
        </w:rPr>
      </w:pPr>
      <w:r w:rsidRPr="00B97967">
        <w:rPr>
          <w:rFonts w:ascii="Times New Roman" w:eastAsia="Times New Roman" w:hAnsi="Times New Roman" w:cs="Times New Roman"/>
        </w:rPr>
        <w:t>En los programas de diseño y arte, gran parte de las asignaturas se centra en el aprendizaje de técnicas específicas; otras abordan fundamentos teóricos, tecnologías y talleres prácticos para el manejo de máquinas propias de las áreas. También, se incluyen materias transversales</w:t>
      </w:r>
      <w:r w:rsidR="00056C22" w:rsidRPr="00B97967">
        <w:rPr>
          <w:rFonts w:ascii="Times New Roman" w:eastAsia="Times New Roman" w:hAnsi="Times New Roman" w:cs="Times New Roman"/>
        </w:rPr>
        <w:t>,</w:t>
      </w:r>
      <w:r w:rsidRPr="00B97967">
        <w:rPr>
          <w:rFonts w:ascii="Times New Roman" w:eastAsia="Times New Roman" w:hAnsi="Times New Roman" w:cs="Times New Roman"/>
        </w:rPr>
        <w:t xml:space="preserve"> orientadas </w:t>
      </w:r>
      <w:r w:rsidRPr="00B97967">
        <w:rPr>
          <w:rFonts w:ascii="Times New Roman" w:eastAsia="Times New Roman" w:hAnsi="Times New Roman" w:cs="Times New Roman"/>
        </w:rPr>
        <w:lastRenderedPageBreak/>
        <w:t xml:space="preserve">al desarrollo humano, idiomas, y asignaturas enfocadas a la investigación científica y el ámbito disciplinar. Estas materias fueron creadas originalmente para apoyar a los estudiantes en la construcción de </w:t>
      </w:r>
      <w:r w:rsidR="00056C22" w:rsidRPr="00B97967">
        <w:rPr>
          <w:rFonts w:ascii="Times New Roman" w:eastAsia="Times New Roman" w:hAnsi="Times New Roman" w:cs="Times New Roman"/>
        </w:rPr>
        <w:t>sus proyectos</w:t>
      </w:r>
      <w:r w:rsidRPr="00B97967">
        <w:rPr>
          <w:rFonts w:ascii="Times New Roman" w:eastAsia="Times New Roman" w:hAnsi="Times New Roman" w:cs="Times New Roman"/>
        </w:rPr>
        <w:t xml:space="preserve"> de tesis.</w:t>
      </w:r>
      <w:r w:rsidR="11CC78D5" w:rsidRPr="00B97967">
        <w:rPr>
          <w:rFonts w:ascii="Times New Roman" w:eastAsia="Times New Roman" w:hAnsi="Times New Roman" w:cs="Times New Roman"/>
        </w:rPr>
        <w:t xml:space="preserve"> Sin embargo, </w:t>
      </w:r>
      <w:r w:rsidR="6E12CFDB" w:rsidRPr="00B97967">
        <w:rPr>
          <w:rFonts w:ascii="Times New Roman" w:eastAsia="Times New Roman" w:hAnsi="Times New Roman" w:cs="Times New Roman"/>
        </w:rPr>
        <w:t>al</w:t>
      </w:r>
      <w:r w:rsidR="11CC78D5" w:rsidRPr="00B97967">
        <w:rPr>
          <w:rFonts w:ascii="Times New Roman" w:eastAsia="Times New Roman" w:hAnsi="Times New Roman" w:cs="Times New Roman"/>
        </w:rPr>
        <w:t xml:space="preserve"> observar que pocos</w:t>
      </w:r>
      <w:r w:rsidR="1DD1EDC7" w:rsidRPr="00B97967">
        <w:rPr>
          <w:rFonts w:ascii="Times New Roman" w:eastAsia="Times New Roman" w:hAnsi="Times New Roman" w:cs="Times New Roman"/>
        </w:rPr>
        <w:t xml:space="preserve"> </w:t>
      </w:r>
      <w:r w:rsidR="11CC78D5" w:rsidRPr="00B97967">
        <w:rPr>
          <w:rFonts w:ascii="Times New Roman" w:eastAsia="Times New Roman" w:hAnsi="Times New Roman" w:cs="Times New Roman"/>
        </w:rPr>
        <w:t xml:space="preserve">estudiantes </w:t>
      </w:r>
      <w:r w:rsidR="499FA5B2" w:rsidRPr="00B97967">
        <w:rPr>
          <w:rFonts w:ascii="Times New Roman" w:eastAsia="Times New Roman" w:hAnsi="Times New Roman" w:cs="Times New Roman"/>
        </w:rPr>
        <w:t xml:space="preserve">lograban titularse mediante elaboración de tesis tras concluir </w:t>
      </w:r>
      <w:r w:rsidR="11CC78D5" w:rsidRPr="00B97967">
        <w:rPr>
          <w:rFonts w:ascii="Times New Roman" w:eastAsia="Times New Roman" w:hAnsi="Times New Roman" w:cs="Times New Roman"/>
        </w:rPr>
        <w:t xml:space="preserve">sus créditos académicos, se </w:t>
      </w:r>
      <w:r w:rsidR="2B958DC5" w:rsidRPr="00B97967">
        <w:rPr>
          <w:rFonts w:ascii="Times New Roman" w:eastAsia="Times New Roman" w:hAnsi="Times New Roman" w:cs="Times New Roman"/>
        </w:rPr>
        <w:t>implementó</w:t>
      </w:r>
      <w:r w:rsidR="11CC78D5" w:rsidRPr="00B97967">
        <w:rPr>
          <w:rFonts w:ascii="Times New Roman" w:eastAsia="Times New Roman" w:hAnsi="Times New Roman" w:cs="Times New Roman"/>
        </w:rPr>
        <w:t xml:space="preserve"> una modalidad de titulación intracurricular</w:t>
      </w:r>
      <w:r w:rsidR="77F9F3B0" w:rsidRPr="00B97967">
        <w:rPr>
          <w:rFonts w:ascii="Times New Roman" w:eastAsia="Times New Roman" w:hAnsi="Times New Roman" w:cs="Times New Roman"/>
        </w:rPr>
        <w:t>. Esta modalidad</w:t>
      </w:r>
      <w:r w:rsidR="11CC78D5" w:rsidRPr="00B97967">
        <w:rPr>
          <w:rFonts w:ascii="Times New Roman" w:eastAsia="Times New Roman" w:hAnsi="Times New Roman" w:cs="Times New Roman"/>
        </w:rPr>
        <w:t xml:space="preserve"> permit</w:t>
      </w:r>
      <w:r w:rsidR="15E0543E" w:rsidRPr="00B97967">
        <w:rPr>
          <w:rFonts w:ascii="Times New Roman" w:eastAsia="Times New Roman" w:hAnsi="Times New Roman" w:cs="Times New Roman"/>
        </w:rPr>
        <w:t>e</w:t>
      </w:r>
      <w:r w:rsidR="11CC78D5" w:rsidRPr="00B97967">
        <w:rPr>
          <w:rFonts w:ascii="Times New Roman" w:eastAsia="Times New Roman" w:hAnsi="Times New Roman" w:cs="Times New Roman"/>
        </w:rPr>
        <w:t xml:space="preserve"> </w:t>
      </w:r>
      <w:r w:rsidR="5109D781" w:rsidRPr="00B97967">
        <w:rPr>
          <w:rFonts w:ascii="Times New Roman" w:eastAsia="Times New Roman" w:hAnsi="Times New Roman" w:cs="Times New Roman"/>
        </w:rPr>
        <w:t>que los estudiantes desarrollen</w:t>
      </w:r>
      <w:r w:rsidR="11CC78D5" w:rsidRPr="00B97967">
        <w:rPr>
          <w:rFonts w:ascii="Times New Roman" w:eastAsia="Times New Roman" w:hAnsi="Times New Roman" w:cs="Times New Roman"/>
        </w:rPr>
        <w:t xml:space="preserve"> una tesis, tesina, o proyecto de investigación</w:t>
      </w:r>
      <w:r w:rsidR="4E1A60CE" w:rsidRPr="00B97967">
        <w:rPr>
          <w:rFonts w:ascii="Times New Roman" w:eastAsia="Times New Roman" w:hAnsi="Times New Roman" w:cs="Times New Roman"/>
        </w:rPr>
        <w:t xml:space="preserve"> a través de materias obligatorias; e</w:t>
      </w:r>
      <w:r w:rsidR="11CC78D5" w:rsidRPr="00B97967">
        <w:rPr>
          <w:rFonts w:ascii="Times New Roman" w:eastAsia="Times New Roman" w:hAnsi="Times New Roman" w:cs="Times New Roman"/>
        </w:rPr>
        <w:t>levando considerablement</w:t>
      </w:r>
      <w:r w:rsidR="4154F2C8" w:rsidRPr="00B97967">
        <w:rPr>
          <w:rFonts w:ascii="Times New Roman" w:eastAsia="Times New Roman" w:hAnsi="Times New Roman" w:cs="Times New Roman"/>
        </w:rPr>
        <w:t>e</w:t>
      </w:r>
      <w:r w:rsidR="11CC78D5" w:rsidRPr="00B97967">
        <w:rPr>
          <w:rFonts w:ascii="Times New Roman" w:eastAsia="Times New Roman" w:hAnsi="Times New Roman" w:cs="Times New Roman"/>
        </w:rPr>
        <w:t xml:space="preserve"> los índices de titulación, </w:t>
      </w:r>
      <w:r w:rsidR="1813E561" w:rsidRPr="00B97967">
        <w:rPr>
          <w:rFonts w:ascii="Times New Roman" w:eastAsia="Times New Roman" w:hAnsi="Times New Roman" w:cs="Times New Roman"/>
        </w:rPr>
        <w:t>aunque no necesariamente</w:t>
      </w:r>
      <w:r w:rsidR="11CC78D5" w:rsidRPr="00B97967">
        <w:rPr>
          <w:rFonts w:ascii="Times New Roman" w:eastAsia="Times New Roman" w:hAnsi="Times New Roman" w:cs="Times New Roman"/>
        </w:rPr>
        <w:t xml:space="preserve"> la calidad de los documentos </w:t>
      </w:r>
      <w:r w:rsidR="2502FD0D" w:rsidRPr="00B97967">
        <w:rPr>
          <w:rFonts w:ascii="Times New Roman" w:eastAsia="Times New Roman" w:hAnsi="Times New Roman" w:cs="Times New Roman"/>
        </w:rPr>
        <w:t>presentados</w:t>
      </w:r>
      <w:r w:rsidR="11CC78D5" w:rsidRPr="00B97967">
        <w:rPr>
          <w:rFonts w:ascii="Times New Roman" w:eastAsia="Times New Roman" w:hAnsi="Times New Roman" w:cs="Times New Roman"/>
        </w:rPr>
        <w:t>.</w:t>
      </w:r>
    </w:p>
    <w:p w14:paraId="2D5E49EB" w14:textId="53F7847C" w:rsidR="0042341B" w:rsidRPr="00B97967" w:rsidRDefault="5804CE57" w:rsidP="261BEDB5">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Para entender las interacciones en contextos fronterizos, es necesario recurrir a los principios básicos del pensamiento complejo de Morin; reconociendo las múltiples posiciones, intereses, percepciones, prácticas, identidades, y </w:t>
      </w:r>
      <w:r w:rsidR="1B1E26F1" w:rsidRPr="00B97967">
        <w:rPr>
          <w:rFonts w:ascii="Times New Roman" w:eastAsia="Times New Roman" w:hAnsi="Times New Roman" w:cs="Times New Roman"/>
        </w:rPr>
        <w:t xml:space="preserve">experiencias que contribuyen en el ámbito formativo </w:t>
      </w:r>
      <w:r w:rsidR="2646DBBC" w:rsidRPr="00B97967">
        <w:rPr>
          <w:rFonts w:ascii="Times New Roman" w:eastAsia="Times New Roman" w:hAnsi="Times New Roman" w:cs="Times New Roman"/>
        </w:rPr>
        <w:t xml:space="preserve">y en los procesos de arte y diseño. </w:t>
      </w:r>
    </w:p>
    <w:p w14:paraId="7E40F2AC" w14:textId="434297ED" w:rsidR="0042341B" w:rsidRPr="00B97967" w:rsidRDefault="775FF40C" w:rsidP="261BEDB5">
      <w:p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Al tratar de integrar el pensamiento complejo en la investigación en arte y diseño, destacamos varios puntos claves:</w:t>
      </w:r>
    </w:p>
    <w:p w14:paraId="787C8147" w14:textId="4BA4DC7C" w:rsidR="0042341B" w:rsidRPr="00B97967" w:rsidRDefault="74EFD623" w:rsidP="261BEDB5">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El diálogo es el </w:t>
      </w:r>
      <w:r w:rsidR="7B5C6D7B" w:rsidRPr="00B97967">
        <w:rPr>
          <w:rFonts w:ascii="Times New Roman" w:eastAsia="Times New Roman" w:hAnsi="Times New Roman" w:cs="Times New Roman"/>
        </w:rPr>
        <w:t>núcleo</w:t>
      </w:r>
      <w:r w:rsidRPr="00B97967">
        <w:rPr>
          <w:rFonts w:ascii="Times New Roman" w:eastAsia="Times New Roman" w:hAnsi="Times New Roman" w:cs="Times New Roman"/>
        </w:rPr>
        <w:t xml:space="preserve"> del proceso educativo, en lugar de suceder una acumulación de conocimientos</w:t>
      </w:r>
      <w:r w:rsidR="00056C22" w:rsidRPr="00B97967">
        <w:rPr>
          <w:rFonts w:ascii="Times New Roman" w:eastAsia="Times New Roman" w:hAnsi="Times New Roman" w:cs="Times New Roman"/>
        </w:rPr>
        <w:t>,</w:t>
      </w:r>
      <w:r w:rsidRPr="00B97967">
        <w:rPr>
          <w:rFonts w:ascii="Times New Roman" w:eastAsia="Times New Roman" w:hAnsi="Times New Roman" w:cs="Times New Roman"/>
        </w:rPr>
        <w:t xml:space="preserve"> la interacción permite una comprensión </w:t>
      </w:r>
      <w:r w:rsidR="4E502C51" w:rsidRPr="00B97967">
        <w:rPr>
          <w:rFonts w:ascii="Times New Roman" w:eastAsia="Times New Roman" w:hAnsi="Times New Roman" w:cs="Times New Roman"/>
        </w:rPr>
        <w:t>más</w:t>
      </w:r>
      <w:r w:rsidRPr="00B97967">
        <w:rPr>
          <w:rFonts w:ascii="Times New Roman" w:eastAsia="Times New Roman" w:hAnsi="Times New Roman" w:cs="Times New Roman"/>
        </w:rPr>
        <w:t xml:space="preserve"> cr</w:t>
      </w:r>
      <w:r w:rsidR="0CBFBE8E" w:rsidRPr="00B97967">
        <w:rPr>
          <w:rFonts w:ascii="Times New Roman" w:eastAsia="Times New Roman" w:hAnsi="Times New Roman" w:cs="Times New Roman"/>
        </w:rPr>
        <w:t>ítica del contexto.</w:t>
      </w:r>
      <w:r w:rsidR="2A015538" w:rsidRPr="00B97967">
        <w:rPr>
          <w:rFonts w:ascii="Times New Roman" w:eastAsia="Times New Roman" w:hAnsi="Times New Roman" w:cs="Times New Roman"/>
        </w:rPr>
        <w:t xml:space="preserve"> En el arte y diseño esto conlleva un enfoque colaborativo y dialógico en la investigación y creación.</w:t>
      </w:r>
    </w:p>
    <w:p w14:paraId="4675A9AB" w14:textId="658E33CD" w:rsidR="0042341B" w:rsidRPr="00B97967" w:rsidRDefault="2A015538" w:rsidP="261BEDB5">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Una conciencia crítica que permita ver múltiples realidades, desde múltiples perspectivas</w:t>
      </w:r>
      <w:r w:rsidR="00B97967" w:rsidRPr="00B97967">
        <w:rPr>
          <w:rFonts w:ascii="Times New Roman" w:eastAsia="Times New Roman" w:hAnsi="Times New Roman" w:cs="Times New Roman"/>
        </w:rPr>
        <w:t>, e</w:t>
      </w:r>
      <w:r w:rsidRPr="00B97967">
        <w:rPr>
          <w:rFonts w:ascii="Times New Roman" w:eastAsia="Times New Roman" w:hAnsi="Times New Roman" w:cs="Times New Roman"/>
        </w:rPr>
        <w:t>n el arte y diseño</w:t>
      </w:r>
      <w:r w:rsidR="00B97967" w:rsidRPr="00B97967">
        <w:rPr>
          <w:rFonts w:ascii="Times New Roman" w:eastAsia="Times New Roman" w:hAnsi="Times New Roman" w:cs="Times New Roman"/>
        </w:rPr>
        <w:t>;</w:t>
      </w:r>
      <w:r w:rsidRPr="00B97967">
        <w:rPr>
          <w:rFonts w:ascii="Times New Roman" w:eastAsia="Times New Roman" w:hAnsi="Times New Roman" w:cs="Times New Roman"/>
        </w:rPr>
        <w:t xml:space="preserve"> </w:t>
      </w:r>
      <w:r w:rsidR="26953CF6" w:rsidRPr="00B97967">
        <w:rPr>
          <w:rFonts w:ascii="Times New Roman" w:eastAsia="Times New Roman" w:hAnsi="Times New Roman" w:cs="Times New Roman"/>
        </w:rPr>
        <w:t>esto se traduce en una oportunidad para cuestionar los significados, contextos y consecuencias de las producciones creativas.</w:t>
      </w:r>
    </w:p>
    <w:p w14:paraId="2A44A602" w14:textId="1E60B8A9" w:rsidR="0042341B" w:rsidRPr="00B97967" w:rsidRDefault="6E5B3FB8" w:rsidP="261BEDB5">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Integrar los procesos de otros campos </w:t>
      </w:r>
      <w:r w:rsidR="043492B9" w:rsidRPr="00B97967">
        <w:rPr>
          <w:rFonts w:ascii="Times New Roman" w:eastAsia="Times New Roman" w:hAnsi="Times New Roman" w:cs="Times New Roman"/>
        </w:rPr>
        <w:t>disciplinarios</w:t>
      </w:r>
      <w:r w:rsidRPr="00B97967">
        <w:rPr>
          <w:rFonts w:ascii="Times New Roman" w:eastAsia="Times New Roman" w:hAnsi="Times New Roman" w:cs="Times New Roman"/>
        </w:rPr>
        <w:t xml:space="preserve"> y perspectivas que permitan entender las formas, los objetos, los espacios y sus contextos</w:t>
      </w:r>
    </w:p>
    <w:p w14:paraId="1EEC09F3" w14:textId="5091E4CF" w:rsidR="0042341B" w:rsidRPr="00B97967" w:rsidRDefault="4622D726" w:rsidP="261BEDB5">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El diseño y el arte pueden ser prácticas transformadoras pues la</w:t>
      </w:r>
      <w:r w:rsidR="350ECA54" w:rsidRPr="00B97967">
        <w:rPr>
          <w:rFonts w:ascii="Times New Roman" w:eastAsia="Times New Roman" w:hAnsi="Times New Roman" w:cs="Times New Roman"/>
        </w:rPr>
        <w:t xml:space="preserve"> creación a partir de hacer investigación desde enfoques </w:t>
      </w:r>
      <w:r w:rsidR="2ADA461F" w:rsidRPr="00B97967">
        <w:rPr>
          <w:rFonts w:ascii="Times New Roman" w:eastAsia="Times New Roman" w:hAnsi="Times New Roman" w:cs="Times New Roman"/>
        </w:rPr>
        <w:t>colaborativos conecta lo estético, lo ético y el compromiso social.</w:t>
      </w:r>
    </w:p>
    <w:p w14:paraId="2DF3F9B7" w14:textId="03009CDA" w:rsidR="0042341B" w:rsidRPr="00B97967" w:rsidRDefault="72565A89" w:rsidP="261BEDB5">
      <w:pPr>
        <w:pStyle w:val="ListParagraph"/>
        <w:numPr>
          <w:ilvl w:val="0"/>
          <w:numId w:val="1"/>
        </w:numPr>
        <w:tabs>
          <w:tab w:val="left" w:pos="810"/>
        </w:tabs>
        <w:spacing w:line="360" w:lineRule="auto"/>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La promoción de prácticas de investigación y creación dinámicas y profundamente conectadas a contextos complej</w:t>
      </w:r>
      <w:r w:rsidR="3E3A7915" w:rsidRPr="00B97967">
        <w:rPr>
          <w:rFonts w:ascii="Times New Roman" w:eastAsia="Times New Roman" w:hAnsi="Times New Roman" w:cs="Times New Roman"/>
        </w:rPr>
        <w:t>os pueden actuar como vías para el cambio y la reflexión.</w:t>
      </w:r>
    </w:p>
    <w:p w14:paraId="23D53F3E" w14:textId="253EDF36" w:rsidR="0042341B" w:rsidRPr="00B97967" w:rsidRDefault="0042341B" w:rsidP="261BEDB5">
      <w:pPr>
        <w:spacing w:line="360" w:lineRule="auto"/>
        <w:rPr>
          <w:rFonts w:ascii="Times New Roman" w:eastAsia="Times New Roman" w:hAnsi="Times New Roman" w:cs="Times New Roman"/>
        </w:rPr>
      </w:pPr>
    </w:p>
    <w:p w14:paraId="08522D4E" w14:textId="5B22D57C" w:rsidR="03633B59" w:rsidRPr="00B97967" w:rsidRDefault="16768832" w:rsidP="261BEDB5">
      <w:pPr>
        <w:spacing w:line="360" w:lineRule="auto"/>
        <w:ind w:firstLine="720"/>
        <w:rPr>
          <w:rFonts w:ascii="Times New Roman" w:eastAsia="Times New Roman" w:hAnsi="Times New Roman" w:cs="Times New Roman"/>
          <w:color w:val="3A7C22" w:themeColor="accent6" w:themeShade="BF"/>
        </w:rPr>
      </w:pPr>
      <w:r w:rsidRPr="00B97967">
        <w:rPr>
          <w:rFonts w:ascii="Times New Roman" w:eastAsia="Times New Roman" w:hAnsi="Times New Roman" w:cs="Times New Roman"/>
        </w:rPr>
        <w:t xml:space="preserve">Los supuestos del “pensamiento complejo” de Edgar Morin están definidos como un proceso holístico que propone indagar de forma transdisciplinaria, constituyendo un apoyo la </w:t>
      </w:r>
      <w:r w:rsidRPr="00B97967">
        <w:rPr>
          <w:rFonts w:ascii="Times New Roman" w:eastAsia="Times New Roman" w:hAnsi="Times New Roman" w:cs="Times New Roman"/>
        </w:rPr>
        <w:lastRenderedPageBreak/>
        <w:t xml:space="preserve">integración de tres principios: el principio dialógico, el principio hologramático y el principio recursivo (Morin, 1999). Aunque estas características son propias del conocimiento situado, enfatizar la interrelación de elementos y sistemas en el contexto fronterizo es adecuada para permitir posiciones flexibles de participación, comprendiendo de forma más profunda el proceso creativo. Esta visión es complementaria al proceso activo y adaptativo </w:t>
      </w:r>
      <w:r w:rsidR="00B97967" w:rsidRPr="00B97967">
        <w:rPr>
          <w:rFonts w:ascii="Times New Roman" w:eastAsia="Times New Roman" w:hAnsi="Times New Roman" w:cs="Times New Roman"/>
        </w:rPr>
        <w:t xml:space="preserve">de </w:t>
      </w:r>
      <w:r w:rsidRPr="00B97967">
        <w:rPr>
          <w:rFonts w:ascii="Times New Roman" w:eastAsia="Times New Roman" w:hAnsi="Times New Roman" w:cs="Times New Roman"/>
        </w:rPr>
        <w:t xml:space="preserve">Piaget </w:t>
      </w:r>
      <w:r w:rsidR="00B97967" w:rsidRPr="00B97967">
        <w:rPr>
          <w:rFonts w:ascii="Times New Roman" w:eastAsia="Times New Roman" w:hAnsi="Times New Roman" w:cs="Times New Roman"/>
        </w:rPr>
        <w:t>(</w:t>
      </w:r>
      <w:r w:rsidRPr="00B97967">
        <w:rPr>
          <w:rFonts w:ascii="Times New Roman" w:eastAsia="Times New Roman" w:hAnsi="Times New Roman" w:cs="Times New Roman"/>
        </w:rPr>
        <w:t>1982), permitiendo en la investigación en arte y diseño una exploración integral que no solo responda a los desafíos de un entorno complejo, sino que los integre como parte de un proceso de creación y aprendizaje transformador.</w:t>
      </w:r>
    </w:p>
    <w:p w14:paraId="09CDB61F" w14:textId="11FCEE8A" w:rsidR="03633B59" w:rsidRPr="00B97967" w:rsidRDefault="03633B59" w:rsidP="261BEDB5">
      <w:pPr>
        <w:spacing w:line="360" w:lineRule="auto"/>
        <w:rPr>
          <w:rFonts w:ascii="Times New Roman" w:eastAsia="Times New Roman" w:hAnsi="Times New Roman" w:cs="Times New Roman"/>
        </w:rPr>
      </w:pPr>
    </w:p>
    <w:p w14:paraId="61BD7A44" w14:textId="77237F09" w:rsidR="261BEDB5" w:rsidRPr="00B97967" w:rsidRDefault="261BEDB5" w:rsidP="261BEDB5">
      <w:r w:rsidRPr="00B97967">
        <w:br w:type="page"/>
      </w:r>
    </w:p>
    <w:bookmarkEnd w:id="0"/>
    <w:bookmarkEnd w:id="1"/>
    <w:p w14:paraId="611C85FA" w14:textId="77777777" w:rsidR="00B97967" w:rsidRPr="00B97967" w:rsidRDefault="00B97967" w:rsidP="00B97967">
      <w:pPr>
        <w:spacing w:line="360" w:lineRule="auto"/>
        <w:rPr>
          <w:rFonts w:ascii="Times New Roman" w:eastAsia="Times New Roman" w:hAnsi="Times New Roman" w:cs="Times New Roman"/>
          <w:b/>
          <w:bCs/>
          <w:sz w:val="26"/>
          <w:szCs w:val="26"/>
        </w:rPr>
      </w:pPr>
      <w:r w:rsidRPr="00B97967">
        <w:rPr>
          <w:rFonts w:ascii="Times New Roman" w:eastAsia="Times New Roman" w:hAnsi="Times New Roman" w:cs="Times New Roman"/>
          <w:b/>
          <w:bCs/>
          <w:sz w:val="26"/>
          <w:szCs w:val="26"/>
        </w:rPr>
        <w:lastRenderedPageBreak/>
        <w:t>Referencias</w:t>
      </w:r>
    </w:p>
    <w:p w14:paraId="1E4CB8F7" w14:textId="1C88EE2B" w:rsidR="00B97967" w:rsidRPr="00B97967" w:rsidRDefault="00B97967" w:rsidP="00B97967">
      <w:pPr>
        <w:spacing w:line="360" w:lineRule="auto"/>
        <w:ind w:left="709" w:hanging="439"/>
        <w:rPr>
          <w:rFonts w:ascii="Times New Roman" w:hAnsi="Times New Roman" w:cs="Times New Roman"/>
          <w:color w:val="000000" w:themeColor="text1"/>
          <w:lang w:val="en-US"/>
        </w:rPr>
      </w:pPr>
      <w:r w:rsidRPr="00B97967">
        <w:rPr>
          <w:rFonts w:ascii="Times New Roman" w:hAnsi="Times New Roman" w:cs="Times New Roman"/>
          <w:color w:val="000000" w:themeColor="text1"/>
          <w:lang w:val="en-US"/>
        </w:rPr>
        <w:t xml:space="preserve">Bowden, Ch. (1998). </w:t>
      </w:r>
      <w:r w:rsidRPr="00B97967">
        <w:rPr>
          <w:rFonts w:ascii="Times New Roman" w:hAnsi="Times New Roman" w:cs="Times New Roman"/>
          <w:i/>
          <w:color w:val="000000" w:themeColor="text1"/>
          <w:lang w:val="en-US"/>
        </w:rPr>
        <w:t xml:space="preserve">Juárez: The Laboratory </w:t>
      </w:r>
      <w:r w:rsidR="00397AA9" w:rsidRPr="00B97967">
        <w:rPr>
          <w:rFonts w:ascii="Times New Roman" w:hAnsi="Times New Roman" w:cs="Times New Roman"/>
          <w:i/>
          <w:color w:val="000000" w:themeColor="text1"/>
          <w:lang w:val="en-US"/>
        </w:rPr>
        <w:t>of</w:t>
      </w:r>
      <w:r w:rsidRPr="00B97967">
        <w:rPr>
          <w:rFonts w:ascii="Times New Roman" w:hAnsi="Times New Roman" w:cs="Times New Roman"/>
          <w:i/>
          <w:color w:val="000000" w:themeColor="text1"/>
          <w:lang w:val="en-US"/>
        </w:rPr>
        <w:t xml:space="preserve"> Our Future</w:t>
      </w:r>
      <w:r w:rsidRPr="00B97967">
        <w:rPr>
          <w:rFonts w:ascii="Times New Roman" w:hAnsi="Times New Roman" w:cs="Times New Roman"/>
          <w:color w:val="000000" w:themeColor="text1"/>
          <w:lang w:val="en-US"/>
        </w:rPr>
        <w:t>. Aperture Press.</w:t>
      </w:r>
    </w:p>
    <w:p w14:paraId="006099DA"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Canclini, N. G. (2012). </w:t>
      </w:r>
      <w:r w:rsidRPr="00B97967">
        <w:rPr>
          <w:rFonts w:ascii="Times New Roman" w:eastAsia="Times New Roman" w:hAnsi="Times New Roman" w:cs="Times New Roman"/>
          <w:i/>
          <w:iCs/>
        </w:rPr>
        <w:t>Culturas híbridas</w:t>
      </w:r>
      <w:r w:rsidRPr="00B97967">
        <w:rPr>
          <w:rFonts w:ascii="Times New Roman" w:eastAsia="Times New Roman" w:hAnsi="Times New Roman" w:cs="Times New Roman"/>
        </w:rPr>
        <w:t>. Debolsillo.</w:t>
      </w:r>
    </w:p>
    <w:p w14:paraId="14FAE390" w14:textId="77777777" w:rsidR="00B97967" w:rsidRPr="00B97967" w:rsidRDefault="00B97967" w:rsidP="00B97967">
      <w:pPr>
        <w:tabs>
          <w:tab w:val="left" w:pos="1701"/>
        </w:tabs>
        <w:spacing w:line="360" w:lineRule="auto"/>
        <w:ind w:left="270" w:firstLine="14"/>
        <w:rPr>
          <w:rStyle w:val="Hyperlink"/>
          <w:rFonts w:ascii="Times New Roman" w:eastAsia="Times New Roman" w:hAnsi="Times New Roman" w:cs="Times New Roman"/>
          <w:color w:val="auto"/>
        </w:rPr>
      </w:pPr>
      <w:r w:rsidRPr="00B97967">
        <w:rPr>
          <w:rFonts w:ascii="Times New Roman" w:eastAsia="Times New Roman" w:hAnsi="Times New Roman" w:cs="Times New Roman"/>
        </w:rPr>
        <w:t xml:space="preserve">Cardona, J. (2011). </w:t>
      </w:r>
      <w:r w:rsidRPr="00B97967">
        <w:rPr>
          <w:rFonts w:ascii="Times New Roman" w:eastAsia="Times New Roman" w:hAnsi="Times New Roman" w:cs="Times New Roman"/>
          <w:i/>
          <w:iCs/>
        </w:rPr>
        <w:t>Rappers risk lives to protest Mexico's drug war.</w:t>
      </w:r>
      <w:r w:rsidRPr="00B97967">
        <w:rPr>
          <w:rFonts w:ascii="Times New Roman" w:eastAsia="Times New Roman" w:hAnsi="Times New Roman" w:cs="Times New Roman"/>
        </w:rPr>
        <w:t xml:space="preserve"> Reuters. </w:t>
      </w:r>
      <w:hyperlink r:id="rId8">
        <w:r w:rsidRPr="00B97967">
          <w:rPr>
            <w:rStyle w:val="Hyperlink"/>
            <w:rFonts w:ascii="Times New Roman" w:eastAsia="Times New Roman" w:hAnsi="Times New Roman" w:cs="Times New Roman"/>
            <w:color w:val="auto"/>
          </w:rPr>
          <w:t>https://www.reuters.com/article/us-mexico-drugs-rap/rappers-risk-lives-to-protest-mexicos-drug-war-idUSTRE74C4KJ20110513/</w:t>
        </w:r>
      </w:hyperlink>
    </w:p>
    <w:p w14:paraId="77F8DAF6"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Carpio-Domínguez, J. L. (2021). </w:t>
      </w:r>
      <w:r w:rsidRPr="00397AA9">
        <w:rPr>
          <w:rFonts w:ascii="Times New Roman" w:eastAsia="Times New Roman" w:hAnsi="Times New Roman" w:cs="Times New Roman"/>
        </w:rPr>
        <w:t xml:space="preserve">Crimen organizado (narcotráfico) y conservación ambiental: </w:t>
      </w:r>
      <w:r w:rsidRPr="00397AA9">
        <w:rPr>
          <w:rFonts w:ascii="Times New Roman" w:eastAsia="Times New Roman" w:hAnsi="Times New Roman" w:cs="Times New Roman"/>
          <w:i/>
          <w:iCs/>
        </w:rPr>
        <w:t>el tema pendiente de la seguridad pública en México</w:t>
      </w:r>
      <w:r w:rsidRPr="00B97967">
        <w:rPr>
          <w:rFonts w:ascii="Times New Roman" w:eastAsia="Times New Roman" w:hAnsi="Times New Roman" w:cs="Times New Roman"/>
        </w:rPr>
        <w:t xml:space="preserve">. </w:t>
      </w:r>
      <w:r w:rsidRPr="00B97967">
        <w:rPr>
          <w:rFonts w:ascii="Times New Roman" w:eastAsia="Times New Roman" w:hAnsi="Times New Roman" w:cs="Times New Roman"/>
          <w:i/>
          <w:iCs/>
        </w:rPr>
        <w:t>CS</w:t>
      </w:r>
      <w:r w:rsidRPr="00B97967">
        <w:rPr>
          <w:rFonts w:ascii="Times New Roman" w:eastAsia="Times New Roman" w:hAnsi="Times New Roman" w:cs="Times New Roman"/>
        </w:rPr>
        <w:t>, (33), 237-274.</w:t>
      </w:r>
    </w:p>
    <w:p w14:paraId="20F4FACC"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Chávez Ortiz, G. E., &amp; Álvarez-Rodríguez, D. (2021). Educación Artística en Contextos de Violencia: </w:t>
      </w:r>
      <w:r w:rsidRPr="00397AA9">
        <w:rPr>
          <w:rFonts w:ascii="Times New Roman" w:eastAsia="Times New Roman" w:hAnsi="Times New Roman" w:cs="Times New Roman"/>
          <w:i/>
          <w:iCs/>
        </w:rPr>
        <w:t xml:space="preserve">Reflexión y Compromiso Social en la Formación de Artistas en la Universidad Autónoma de Ciudad Juárez. </w:t>
      </w:r>
      <w:r w:rsidRPr="00B97967">
        <w:rPr>
          <w:rFonts w:ascii="Times New Roman" w:eastAsia="Times New Roman" w:hAnsi="Times New Roman" w:cs="Times New Roman"/>
          <w:i/>
          <w:iCs/>
        </w:rPr>
        <w:t>Revista Internacional De Educación Para La Justicia Social</w:t>
      </w:r>
      <w:r w:rsidRPr="00B97967">
        <w:rPr>
          <w:rFonts w:ascii="Times New Roman" w:eastAsia="Times New Roman" w:hAnsi="Times New Roman" w:cs="Times New Roman"/>
        </w:rPr>
        <w:t xml:space="preserve">, </w:t>
      </w:r>
      <w:r w:rsidRPr="00B97967">
        <w:rPr>
          <w:rFonts w:ascii="Times New Roman" w:eastAsia="Times New Roman" w:hAnsi="Times New Roman" w:cs="Times New Roman"/>
          <w:i/>
          <w:iCs/>
        </w:rPr>
        <w:t>10</w:t>
      </w:r>
      <w:r w:rsidRPr="00B97967">
        <w:rPr>
          <w:rFonts w:ascii="Times New Roman" w:eastAsia="Times New Roman" w:hAnsi="Times New Roman" w:cs="Times New Roman"/>
        </w:rPr>
        <w:t xml:space="preserve">(2), 107–115. </w:t>
      </w:r>
      <w:hyperlink r:id="rId9">
        <w:r w:rsidRPr="00B97967">
          <w:rPr>
            <w:rStyle w:val="Hyperlink"/>
            <w:rFonts w:ascii="Times New Roman" w:eastAsia="Times New Roman" w:hAnsi="Times New Roman" w:cs="Times New Roman"/>
            <w:color w:val="auto"/>
          </w:rPr>
          <w:t>https://doi.org/10.15366/riejs2021.10.2.007</w:t>
        </w:r>
      </w:hyperlink>
      <w:r w:rsidRPr="00B97967">
        <w:rPr>
          <w:rFonts w:ascii="Times New Roman" w:eastAsia="Times New Roman" w:hAnsi="Times New Roman" w:cs="Times New Roman"/>
        </w:rPr>
        <w:t xml:space="preserve"> </w:t>
      </w:r>
    </w:p>
    <w:p w14:paraId="714631A8" w14:textId="77777777" w:rsidR="00B97967" w:rsidRPr="00B97967" w:rsidRDefault="00B97967" w:rsidP="00B97967">
      <w:pPr>
        <w:tabs>
          <w:tab w:val="left" w:pos="1701"/>
        </w:tabs>
        <w:spacing w:line="360" w:lineRule="auto"/>
        <w:ind w:left="270" w:firstLine="14"/>
        <w:rPr>
          <w:rStyle w:val="Hyperlink"/>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Dell’Agnese, E., &amp; Amilhat Szary, A. L. (2015). </w:t>
      </w:r>
      <w:r w:rsidRPr="00397AA9">
        <w:rPr>
          <w:rFonts w:ascii="Times New Roman" w:eastAsia="Times New Roman" w:hAnsi="Times New Roman" w:cs="Times New Roman"/>
          <w:i/>
          <w:iCs/>
        </w:rPr>
        <w:t xml:space="preserve">Borderscapes: from border landscapes to border aesthetics. </w:t>
      </w:r>
      <w:r w:rsidRPr="00B97967">
        <w:rPr>
          <w:rFonts w:ascii="Times New Roman" w:eastAsia="Times New Roman" w:hAnsi="Times New Roman" w:cs="Times New Roman"/>
          <w:i/>
          <w:iCs/>
        </w:rPr>
        <w:t>Journal Geopolitics. Volumen 20</w:t>
      </w:r>
      <w:r w:rsidRPr="00B97967">
        <w:rPr>
          <w:rFonts w:ascii="Times New Roman" w:eastAsia="Times New Roman" w:hAnsi="Times New Roman" w:cs="Times New Roman"/>
        </w:rPr>
        <w:t xml:space="preserve">.  </w:t>
      </w:r>
      <w:hyperlink r:id="rId10">
        <w:r w:rsidRPr="00B97967">
          <w:rPr>
            <w:rStyle w:val="Hyperlink"/>
            <w:rFonts w:ascii="Times New Roman" w:eastAsia="Times New Roman" w:hAnsi="Times New Roman" w:cs="Times New Roman"/>
            <w:color w:val="auto"/>
          </w:rPr>
          <w:t>https://doi.org/10.1080/14650045.2015.1014284</w:t>
        </w:r>
      </w:hyperlink>
    </w:p>
    <w:p w14:paraId="2CEBFA29"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Harvey, D. (2021). </w:t>
      </w:r>
      <w:r w:rsidRPr="00B97967">
        <w:rPr>
          <w:rFonts w:ascii="Times New Roman" w:eastAsia="Times New Roman" w:hAnsi="Times New Roman" w:cs="Times New Roman"/>
          <w:i/>
          <w:iCs/>
        </w:rPr>
        <w:t>Espacios del capitalismo global: Hacia una teoría del desarrollo geográfico desigual</w:t>
      </w:r>
      <w:r w:rsidRPr="00B97967">
        <w:rPr>
          <w:rFonts w:ascii="Times New Roman" w:eastAsia="Times New Roman" w:hAnsi="Times New Roman" w:cs="Times New Roman"/>
        </w:rPr>
        <w:t xml:space="preserve"> (Vol. 120). Ediciones Akal.</w:t>
      </w:r>
    </w:p>
    <w:p w14:paraId="73E8C1BF"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Monárrez, C., Fuentes, F. y Rubio S. (2010). </w:t>
      </w:r>
      <w:r w:rsidRPr="00B97967">
        <w:rPr>
          <w:rFonts w:ascii="Times New Roman" w:eastAsia="Times New Roman" w:hAnsi="Times New Roman" w:cs="Times New Roman"/>
          <w:i/>
          <w:iCs/>
        </w:rPr>
        <w:t>Violencias contra las mujeres e inseguridad ciudadana en Ciudad Juárez.</w:t>
      </w:r>
      <w:r w:rsidRPr="00B97967">
        <w:rPr>
          <w:rFonts w:ascii="Times New Roman" w:eastAsia="Times New Roman" w:hAnsi="Times New Roman" w:cs="Times New Roman"/>
        </w:rPr>
        <w:t xml:space="preserve"> Colegio de la Frontera.  </w:t>
      </w:r>
    </w:p>
    <w:p w14:paraId="435DA7D6" w14:textId="4971CC41"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Morin, E. (1999). </w:t>
      </w:r>
      <w:r w:rsidRPr="00397AA9">
        <w:rPr>
          <w:rFonts w:ascii="Times New Roman" w:eastAsia="Times New Roman" w:hAnsi="Times New Roman" w:cs="Times New Roman"/>
          <w:i/>
          <w:iCs/>
        </w:rPr>
        <w:t>Los siete saberes necesarios para la educación del futuro</w:t>
      </w:r>
      <w:r w:rsidRPr="00B97967">
        <w:rPr>
          <w:rFonts w:ascii="Times New Roman" w:eastAsia="Times New Roman" w:hAnsi="Times New Roman" w:cs="Times New Roman"/>
        </w:rPr>
        <w:t>.</w:t>
      </w:r>
      <w:r w:rsidR="00397AA9">
        <w:rPr>
          <w:rFonts w:ascii="Times New Roman" w:eastAsia="Times New Roman" w:hAnsi="Times New Roman" w:cs="Times New Roman"/>
        </w:rPr>
        <w:t xml:space="preserve"> París, Francia: Santillana/UNESCO</w:t>
      </w:r>
    </w:p>
    <w:p w14:paraId="7AFC827F" w14:textId="707EC855" w:rsidR="00B97967" w:rsidRPr="00B97967" w:rsidRDefault="00B97967" w:rsidP="00B97967">
      <w:pPr>
        <w:tabs>
          <w:tab w:val="left" w:pos="1701"/>
        </w:tabs>
        <w:spacing w:line="360" w:lineRule="auto"/>
        <w:ind w:left="270" w:firstLine="14"/>
        <w:rPr>
          <w:rFonts w:ascii="Times New Roman" w:eastAsia="Times New Roman" w:hAnsi="Times New Roman" w:cs="Times New Roman"/>
          <w:i/>
          <w:iCs/>
          <w:color w:val="000000" w:themeColor="text1"/>
        </w:rPr>
      </w:pPr>
      <w:r w:rsidRPr="00B97967">
        <w:rPr>
          <w:rFonts w:ascii="Times New Roman" w:eastAsia="Times New Roman" w:hAnsi="Times New Roman" w:cs="Times New Roman"/>
        </w:rPr>
        <w:t xml:space="preserve">Orozco, V. (2007). </w:t>
      </w:r>
      <w:r w:rsidRPr="00B97967">
        <w:rPr>
          <w:rFonts w:ascii="Times New Roman" w:eastAsia="Times New Roman" w:hAnsi="Times New Roman" w:cs="Times New Roman"/>
          <w:i/>
          <w:iCs/>
        </w:rPr>
        <w:t>El estado de Chihuahua en el parto de la nación, 1810-1831</w:t>
      </w:r>
      <w:r w:rsidR="00397AA9">
        <w:rPr>
          <w:rFonts w:ascii="Times New Roman" w:eastAsia="Times New Roman" w:hAnsi="Times New Roman" w:cs="Times New Roman"/>
          <w:i/>
          <w:iCs/>
        </w:rPr>
        <w:t>.</w:t>
      </w:r>
      <w:r w:rsidR="00397AA9" w:rsidRPr="00397AA9">
        <w:rPr>
          <w:rFonts w:ascii="Times New Roman" w:eastAsia="Times New Roman" w:hAnsi="Times New Roman" w:cs="Times New Roman"/>
        </w:rPr>
        <w:t>ColChih/ICHICULT/UACJ/Plaza y Valdés, México.</w:t>
      </w:r>
    </w:p>
    <w:p w14:paraId="44274676"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Padilla, H. (2007). Ciudad Juárez: de la violencia y la exclusión social a la refundación de la ciudad. En Orozco, V. (Coord.) </w:t>
      </w:r>
      <w:r w:rsidRPr="00B97967">
        <w:rPr>
          <w:rFonts w:ascii="Times New Roman" w:eastAsia="Times New Roman" w:hAnsi="Times New Roman" w:cs="Times New Roman"/>
          <w:i/>
          <w:iCs/>
        </w:rPr>
        <w:t>Chihuahua hoy 2007</w:t>
      </w:r>
      <w:r w:rsidRPr="00B97967">
        <w:rPr>
          <w:rFonts w:ascii="Times New Roman" w:eastAsia="Times New Roman" w:hAnsi="Times New Roman" w:cs="Times New Roman"/>
        </w:rPr>
        <w:t xml:space="preserve"> (pp.181-216) Editorial Universidad Autónoma de Ciudad Juárez.</w:t>
      </w:r>
    </w:p>
    <w:p w14:paraId="31C6EE51"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Padilla, H.A., Olivas A., C. A. y Alvarado S., L. (2014). </w:t>
      </w:r>
      <w:r w:rsidRPr="00B97967">
        <w:rPr>
          <w:rFonts w:ascii="Times New Roman" w:eastAsia="Times New Roman" w:hAnsi="Times New Roman" w:cs="Times New Roman"/>
          <w:i/>
          <w:iCs/>
        </w:rPr>
        <w:t>Ciudad Juárez y la necesidad de política. De la ciudad real a la ideal</w:t>
      </w:r>
      <w:r w:rsidRPr="00B97967">
        <w:rPr>
          <w:rFonts w:ascii="Times New Roman" w:eastAsia="Times New Roman" w:hAnsi="Times New Roman" w:cs="Times New Roman"/>
        </w:rPr>
        <w:t xml:space="preserve">. Universidad Autónoma de Ciudad Juárez.  </w:t>
      </w:r>
    </w:p>
    <w:p w14:paraId="37B15DE9"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Piaget, J. (1982). </w:t>
      </w:r>
      <w:r w:rsidRPr="00B97967">
        <w:rPr>
          <w:rFonts w:ascii="Times New Roman" w:eastAsia="Times New Roman" w:hAnsi="Times New Roman" w:cs="Times New Roman"/>
          <w:i/>
          <w:iCs/>
        </w:rPr>
        <w:t>Las formas elementales de la dialéctica.</w:t>
      </w:r>
      <w:r w:rsidRPr="00B97967">
        <w:rPr>
          <w:rFonts w:ascii="Times New Roman" w:eastAsia="Times New Roman" w:hAnsi="Times New Roman" w:cs="Times New Roman"/>
        </w:rPr>
        <w:t xml:space="preserve"> Barcelona: Gedisa,</w:t>
      </w:r>
    </w:p>
    <w:p w14:paraId="2A6C8E3C" w14:textId="77777777" w:rsidR="00B97967" w:rsidRPr="00B97967" w:rsidRDefault="00B97967" w:rsidP="00B97967">
      <w:pPr>
        <w:tabs>
          <w:tab w:val="left" w:pos="1701"/>
        </w:tabs>
        <w:spacing w:line="360" w:lineRule="auto"/>
        <w:ind w:left="270" w:firstLine="14"/>
        <w:rPr>
          <w:rFonts w:ascii="Times New Roman" w:eastAsia="Times New Roman" w:hAnsi="Times New Roman" w:cs="Times New Roman"/>
          <w:color w:val="000000" w:themeColor="text1"/>
        </w:rPr>
      </w:pPr>
      <w:r w:rsidRPr="00B97967">
        <w:rPr>
          <w:rFonts w:ascii="Times New Roman" w:eastAsia="Times New Roman" w:hAnsi="Times New Roman" w:cs="Times New Roman"/>
        </w:rPr>
        <w:t xml:space="preserve">Richards, N., &amp; Tompkins, C. M. (2013). Latin America and Postmodernity. </w:t>
      </w:r>
      <w:r w:rsidRPr="009C6130">
        <w:rPr>
          <w:rFonts w:ascii="Times New Roman" w:eastAsia="Times New Roman" w:hAnsi="Times New Roman" w:cs="Times New Roman"/>
          <w:i/>
          <w:iCs/>
        </w:rPr>
        <w:t xml:space="preserve">In </w:t>
      </w:r>
      <w:r w:rsidRPr="00B97967">
        <w:rPr>
          <w:rFonts w:ascii="Times New Roman" w:eastAsia="Times New Roman" w:hAnsi="Times New Roman" w:cs="Times New Roman"/>
          <w:i/>
          <w:iCs/>
        </w:rPr>
        <w:t>Latin America Writes Back</w:t>
      </w:r>
      <w:r w:rsidRPr="00B97967">
        <w:rPr>
          <w:rFonts w:ascii="Times New Roman" w:eastAsia="Times New Roman" w:hAnsi="Times New Roman" w:cs="Times New Roman"/>
        </w:rPr>
        <w:t xml:space="preserve"> (pp. 225-233). Routledge. Taylor &amp; Francis Group </w:t>
      </w:r>
    </w:p>
    <w:p w14:paraId="21995E6D" w14:textId="77777777" w:rsidR="00B97967" w:rsidRPr="00B97967" w:rsidRDefault="00B97967" w:rsidP="00B97967">
      <w:pPr>
        <w:tabs>
          <w:tab w:val="left" w:pos="1701"/>
        </w:tabs>
        <w:spacing w:line="360" w:lineRule="auto"/>
        <w:ind w:left="270" w:firstLine="14"/>
        <w:rPr>
          <w:rStyle w:val="Hyperlink"/>
          <w:rFonts w:ascii="Times New Roman" w:eastAsia="Times New Roman" w:hAnsi="Times New Roman" w:cs="Times New Roman"/>
          <w:color w:val="auto"/>
        </w:rPr>
      </w:pPr>
      <w:r w:rsidRPr="00B97967">
        <w:rPr>
          <w:rFonts w:ascii="Times New Roman" w:eastAsia="Times New Roman" w:hAnsi="Times New Roman" w:cs="Times New Roman"/>
        </w:rPr>
        <w:lastRenderedPageBreak/>
        <w:t xml:space="preserve">Tabuenca, M. S. (2018). </w:t>
      </w:r>
      <w:r w:rsidRPr="009C6130">
        <w:rPr>
          <w:rFonts w:ascii="Times New Roman" w:eastAsia="Times New Roman" w:hAnsi="Times New Roman" w:cs="Times New Roman"/>
          <w:i/>
          <w:iCs/>
        </w:rPr>
        <w:t xml:space="preserve">Una conversación imaginada sobre las literaturas de las fronteras a más de 20 años. </w:t>
      </w:r>
      <w:r w:rsidRPr="00B97967">
        <w:rPr>
          <w:rFonts w:ascii="Times New Roman" w:eastAsia="Times New Roman" w:hAnsi="Times New Roman" w:cs="Times New Roman"/>
          <w:i/>
          <w:iCs/>
        </w:rPr>
        <w:t>Revista Iberoamericana</w:t>
      </w:r>
      <w:r w:rsidRPr="00B97967">
        <w:rPr>
          <w:rFonts w:ascii="Times New Roman" w:eastAsia="Times New Roman" w:hAnsi="Times New Roman" w:cs="Times New Roman"/>
        </w:rPr>
        <w:t xml:space="preserve">, </w:t>
      </w:r>
      <w:r w:rsidRPr="00B97967">
        <w:rPr>
          <w:rFonts w:ascii="Times New Roman" w:eastAsia="Times New Roman" w:hAnsi="Times New Roman" w:cs="Times New Roman"/>
          <w:i/>
          <w:iCs/>
        </w:rPr>
        <w:t>84</w:t>
      </w:r>
      <w:r w:rsidRPr="00B97967">
        <w:rPr>
          <w:rFonts w:ascii="Times New Roman" w:eastAsia="Times New Roman" w:hAnsi="Times New Roman" w:cs="Times New Roman"/>
        </w:rPr>
        <w:t xml:space="preserve">(265), 1173-1194. </w:t>
      </w:r>
      <w:hyperlink r:id="rId11">
        <w:r w:rsidRPr="00B97967">
          <w:rPr>
            <w:rStyle w:val="Hyperlink"/>
            <w:rFonts w:ascii="Times New Roman" w:eastAsia="Times New Roman" w:hAnsi="Times New Roman" w:cs="Times New Roman"/>
            <w:color w:val="auto"/>
          </w:rPr>
          <w:t>https://doi.org/10.5195/reviberoamer.2018.7683</w:t>
        </w:r>
      </w:hyperlink>
    </w:p>
    <w:p w14:paraId="13C85225" w14:textId="551BCF05" w:rsidR="00B97967" w:rsidRPr="009A7FB8" w:rsidRDefault="00B97967" w:rsidP="00B97967">
      <w:pPr>
        <w:tabs>
          <w:tab w:val="left" w:pos="1701"/>
        </w:tabs>
        <w:spacing w:line="360" w:lineRule="auto"/>
        <w:ind w:left="270" w:firstLine="14"/>
        <w:rPr>
          <w:rFonts w:ascii="Times New Roman" w:eastAsia="Times New Roman" w:hAnsi="Times New Roman" w:cs="Times New Roman"/>
          <w:color w:val="000000" w:themeColor="text1"/>
          <w:u w:val="single"/>
          <w:lang w:val="es-ES_tradnl"/>
        </w:rPr>
      </w:pPr>
      <w:r w:rsidRPr="00B97967">
        <w:rPr>
          <w:rFonts w:ascii="Times New Roman" w:hAnsi="Times New Roman" w:cs="Times New Roman"/>
          <w:color w:val="000000" w:themeColor="text1"/>
        </w:rPr>
        <w:t xml:space="preserve">Yépez, H. (2006): </w:t>
      </w:r>
      <w:r w:rsidRPr="009C6130">
        <w:rPr>
          <w:rFonts w:ascii="Times New Roman" w:hAnsi="Times New Roman" w:cs="Times New Roman"/>
          <w:i/>
          <w:iCs/>
          <w:color w:val="000000" w:themeColor="text1"/>
        </w:rPr>
        <w:t>Tijuanologías</w:t>
      </w:r>
      <w:r w:rsidRPr="00B97967">
        <w:rPr>
          <w:rFonts w:ascii="Times New Roman" w:hAnsi="Times New Roman" w:cs="Times New Roman"/>
          <w:color w:val="000000" w:themeColor="text1"/>
        </w:rPr>
        <w:t>. Libros del Umbral, Mexicali, BC. México.</w:t>
      </w:r>
    </w:p>
    <w:p w14:paraId="3E20EAD5" w14:textId="7B87470A" w:rsidR="00DF4C9D" w:rsidRPr="00056C22" w:rsidRDefault="00DF4C9D" w:rsidP="00B97967">
      <w:pPr>
        <w:spacing w:line="360" w:lineRule="auto"/>
        <w:rPr>
          <w:rFonts w:ascii="Times New Roman" w:eastAsia="Times New Roman" w:hAnsi="Times New Roman" w:cs="Times New Roman"/>
        </w:rPr>
      </w:pPr>
    </w:p>
    <w:sectPr w:rsidR="00DF4C9D" w:rsidRPr="00056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BCACD"/>
    <w:multiLevelType w:val="hybridMultilevel"/>
    <w:tmpl w:val="8BF0016A"/>
    <w:lvl w:ilvl="0" w:tplc="B078626C">
      <w:start w:val="1"/>
      <w:numFmt w:val="bullet"/>
      <w:lvlText w:val=""/>
      <w:lvlJc w:val="left"/>
      <w:pPr>
        <w:ind w:left="720" w:hanging="360"/>
      </w:pPr>
      <w:rPr>
        <w:rFonts w:ascii="Symbol" w:hAnsi="Symbol" w:hint="default"/>
      </w:rPr>
    </w:lvl>
    <w:lvl w:ilvl="1" w:tplc="564284A6">
      <w:start w:val="1"/>
      <w:numFmt w:val="bullet"/>
      <w:lvlText w:val="o"/>
      <w:lvlJc w:val="left"/>
      <w:pPr>
        <w:ind w:left="1440" w:hanging="360"/>
      </w:pPr>
      <w:rPr>
        <w:rFonts w:ascii="Courier New" w:hAnsi="Courier New" w:hint="default"/>
      </w:rPr>
    </w:lvl>
    <w:lvl w:ilvl="2" w:tplc="7896A51C">
      <w:start w:val="1"/>
      <w:numFmt w:val="bullet"/>
      <w:lvlText w:val=""/>
      <w:lvlJc w:val="left"/>
      <w:pPr>
        <w:ind w:left="2160" w:hanging="360"/>
      </w:pPr>
      <w:rPr>
        <w:rFonts w:ascii="Wingdings" w:hAnsi="Wingdings" w:hint="default"/>
      </w:rPr>
    </w:lvl>
    <w:lvl w:ilvl="3" w:tplc="982699A4">
      <w:start w:val="1"/>
      <w:numFmt w:val="bullet"/>
      <w:lvlText w:val=""/>
      <w:lvlJc w:val="left"/>
      <w:pPr>
        <w:ind w:left="2880" w:hanging="360"/>
      </w:pPr>
      <w:rPr>
        <w:rFonts w:ascii="Symbol" w:hAnsi="Symbol" w:hint="default"/>
      </w:rPr>
    </w:lvl>
    <w:lvl w:ilvl="4" w:tplc="9D2060F4">
      <w:start w:val="1"/>
      <w:numFmt w:val="bullet"/>
      <w:lvlText w:val="o"/>
      <w:lvlJc w:val="left"/>
      <w:pPr>
        <w:ind w:left="3600" w:hanging="360"/>
      </w:pPr>
      <w:rPr>
        <w:rFonts w:ascii="Courier New" w:hAnsi="Courier New" w:hint="default"/>
      </w:rPr>
    </w:lvl>
    <w:lvl w:ilvl="5" w:tplc="09E62820">
      <w:start w:val="1"/>
      <w:numFmt w:val="bullet"/>
      <w:lvlText w:val=""/>
      <w:lvlJc w:val="left"/>
      <w:pPr>
        <w:ind w:left="4320" w:hanging="360"/>
      </w:pPr>
      <w:rPr>
        <w:rFonts w:ascii="Wingdings" w:hAnsi="Wingdings" w:hint="default"/>
      </w:rPr>
    </w:lvl>
    <w:lvl w:ilvl="6" w:tplc="A2D8CB74">
      <w:start w:val="1"/>
      <w:numFmt w:val="bullet"/>
      <w:lvlText w:val=""/>
      <w:lvlJc w:val="left"/>
      <w:pPr>
        <w:ind w:left="5040" w:hanging="360"/>
      </w:pPr>
      <w:rPr>
        <w:rFonts w:ascii="Symbol" w:hAnsi="Symbol" w:hint="default"/>
      </w:rPr>
    </w:lvl>
    <w:lvl w:ilvl="7" w:tplc="C65A0AAA">
      <w:start w:val="1"/>
      <w:numFmt w:val="bullet"/>
      <w:lvlText w:val="o"/>
      <w:lvlJc w:val="left"/>
      <w:pPr>
        <w:ind w:left="5760" w:hanging="360"/>
      </w:pPr>
      <w:rPr>
        <w:rFonts w:ascii="Courier New" w:hAnsi="Courier New" w:hint="default"/>
      </w:rPr>
    </w:lvl>
    <w:lvl w:ilvl="8" w:tplc="950C9798">
      <w:start w:val="1"/>
      <w:numFmt w:val="bullet"/>
      <w:lvlText w:val=""/>
      <w:lvlJc w:val="left"/>
      <w:pPr>
        <w:ind w:left="6480" w:hanging="360"/>
      </w:pPr>
      <w:rPr>
        <w:rFonts w:ascii="Wingdings" w:hAnsi="Wingdings" w:hint="default"/>
      </w:rPr>
    </w:lvl>
  </w:abstractNum>
  <w:abstractNum w:abstractNumId="1" w15:restartNumberingAfterBreak="0">
    <w:nsid w:val="4A9DF1F5"/>
    <w:multiLevelType w:val="hybridMultilevel"/>
    <w:tmpl w:val="A182942E"/>
    <w:lvl w:ilvl="0" w:tplc="1F98784A">
      <w:start w:val="1"/>
      <w:numFmt w:val="bullet"/>
      <w:lvlText w:val=""/>
      <w:lvlJc w:val="left"/>
      <w:pPr>
        <w:ind w:left="720" w:hanging="360"/>
      </w:pPr>
      <w:rPr>
        <w:rFonts w:ascii="Symbol" w:hAnsi="Symbol" w:hint="default"/>
      </w:rPr>
    </w:lvl>
    <w:lvl w:ilvl="1" w:tplc="2A12831C">
      <w:start w:val="1"/>
      <w:numFmt w:val="bullet"/>
      <w:lvlText w:val="o"/>
      <w:lvlJc w:val="left"/>
      <w:pPr>
        <w:ind w:left="1440" w:hanging="360"/>
      </w:pPr>
      <w:rPr>
        <w:rFonts w:ascii="Courier New" w:hAnsi="Courier New" w:hint="default"/>
      </w:rPr>
    </w:lvl>
    <w:lvl w:ilvl="2" w:tplc="4404BEA8">
      <w:start w:val="1"/>
      <w:numFmt w:val="bullet"/>
      <w:lvlText w:val=""/>
      <w:lvlJc w:val="left"/>
      <w:pPr>
        <w:ind w:left="2160" w:hanging="360"/>
      </w:pPr>
      <w:rPr>
        <w:rFonts w:ascii="Wingdings" w:hAnsi="Wingdings" w:hint="default"/>
      </w:rPr>
    </w:lvl>
    <w:lvl w:ilvl="3" w:tplc="C910E7E4">
      <w:start w:val="1"/>
      <w:numFmt w:val="bullet"/>
      <w:lvlText w:val=""/>
      <w:lvlJc w:val="left"/>
      <w:pPr>
        <w:ind w:left="2880" w:hanging="360"/>
      </w:pPr>
      <w:rPr>
        <w:rFonts w:ascii="Symbol" w:hAnsi="Symbol" w:hint="default"/>
      </w:rPr>
    </w:lvl>
    <w:lvl w:ilvl="4" w:tplc="AD54FC40">
      <w:start w:val="1"/>
      <w:numFmt w:val="bullet"/>
      <w:lvlText w:val="o"/>
      <w:lvlJc w:val="left"/>
      <w:pPr>
        <w:ind w:left="3600" w:hanging="360"/>
      </w:pPr>
      <w:rPr>
        <w:rFonts w:ascii="Courier New" w:hAnsi="Courier New" w:hint="default"/>
      </w:rPr>
    </w:lvl>
    <w:lvl w:ilvl="5" w:tplc="B3ECE892">
      <w:start w:val="1"/>
      <w:numFmt w:val="bullet"/>
      <w:lvlText w:val=""/>
      <w:lvlJc w:val="left"/>
      <w:pPr>
        <w:ind w:left="4320" w:hanging="360"/>
      </w:pPr>
      <w:rPr>
        <w:rFonts w:ascii="Wingdings" w:hAnsi="Wingdings" w:hint="default"/>
      </w:rPr>
    </w:lvl>
    <w:lvl w:ilvl="6" w:tplc="ADDAEF22">
      <w:start w:val="1"/>
      <w:numFmt w:val="bullet"/>
      <w:lvlText w:val=""/>
      <w:lvlJc w:val="left"/>
      <w:pPr>
        <w:ind w:left="5040" w:hanging="360"/>
      </w:pPr>
      <w:rPr>
        <w:rFonts w:ascii="Symbol" w:hAnsi="Symbol" w:hint="default"/>
      </w:rPr>
    </w:lvl>
    <w:lvl w:ilvl="7" w:tplc="7972784A">
      <w:start w:val="1"/>
      <w:numFmt w:val="bullet"/>
      <w:lvlText w:val="o"/>
      <w:lvlJc w:val="left"/>
      <w:pPr>
        <w:ind w:left="5760" w:hanging="360"/>
      </w:pPr>
      <w:rPr>
        <w:rFonts w:ascii="Courier New" w:hAnsi="Courier New" w:hint="default"/>
      </w:rPr>
    </w:lvl>
    <w:lvl w:ilvl="8" w:tplc="3942E8E2">
      <w:start w:val="1"/>
      <w:numFmt w:val="bullet"/>
      <w:lvlText w:val=""/>
      <w:lvlJc w:val="left"/>
      <w:pPr>
        <w:ind w:left="6480" w:hanging="360"/>
      </w:pPr>
      <w:rPr>
        <w:rFonts w:ascii="Wingdings" w:hAnsi="Wingdings" w:hint="default"/>
      </w:rPr>
    </w:lvl>
  </w:abstractNum>
  <w:num w:numId="1" w16cid:durableId="392509904">
    <w:abstractNumId w:val="1"/>
  </w:num>
  <w:num w:numId="2" w16cid:durableId="15021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72"/>
    <w:rsid w:val="00056C22"/>
    <w:rsid w:val="00084149"/>
    <w:rsid w:val="000D2A0E"/>
    <w:rsid w:val="000D60E1"/>
    <w:rsid w:val="00145943"/>
    <w:rsid w:val="0016740E"/>
    <w:rsid w:val="00174706"/>
    <w:rsid w:val="001D1773"/>
    <w:rsid w:val="001D57F8"/>
    <w:rsid w:val="001D6195"/>
    <w:rsid w:val="002A35B2"/>
    <w:rsid w:val="002C350D"/>
    <w:rsid w:val="002C4300"/>
    <w:rsid w:val="00303586"/>
    <w:rsid w:val="00362D17"/>
    <w:rsid w:val="00397AA9"/>
    <w:rsid w:val="003B41BA"/>
    <w:rsid w:val="003C1782"/>
    <w:rsid w:val="004128F7"/>
    <w:rsid w:val="0042341B"/>
    <w:rsid w:val="004B1C5D"/>
    <w:rsid w:val="004D66E7"/>
    <w:rsid w:val="005974A0"/>
    <w:rsid w:val="005E03B7"/>
    <w:rsid w:val="00634960"/>
    <w:rsid w:val="006B0184"/>
    <w:rsid w:val="00711343"/>
    <w:rsid w:val="00795372"/>
    <w:rsid w:val="008F5903"/>
    <w:rsid w:val="00921ACD"/>
    <w:rsid w:val="00923E61"/>
    <w:rsid w:val="00933855"/>
    <w:rsid w:val="00965CDA"/>
    <w:rsid w:val="00967543"/>
    <w:rsid w:val="00971764"/>
    <w:rsid w:val="009A7FFA"/>
    <w:rsid w:val="009B37C1"/>
    <w:rsid w:val="009C6130"/>
    <w:rsid w:val="00A26F6F"/>
    <w:rsid w:val="00A92D36"/>
    <w:rsid w:val="00AB45F9"/>
    <w:rsid w:val="00AB7BF1"/>
    <w:rsid w:val="00AD436F"/>
    <w:rsid w:val="00B108FE"/>
    <w:rsid w:val="00B511E6"/>
    <w:rsid w:val="00B87478"/>
    <w:rsid w:val="00B97967"/>
    <w:rsid w:val="00BA0989"/>
    <w:rsid w:val="00C33C1D"/>
    <w:rsid w:val="00C4064D"/>
    <w:rsid w:val="00C75E28"/>
    <w:rsid w:val="00CD2E27"/>
    <w:rsid w:val="00D04F3F"/>
    <w:rsid w:val="00D53D70"/>
    <w:rsid w:val="00D66436"/>
    <w:rsid w:val="00D75294"/>
    <w:rsid w:val="00DC2395"/>
    <w:rsid w:val="00DE564F"/>
    <w:rsid w:val="00DF4C9D"/>
    <w:rsid w:val="00E52DCA"/>
    <w:rsid w:val="00E542D6"/>
    <w:rsid w:val="00E70103"/>
    <w:rsid w:val="00E752F6"/>
    <w:rsid w:val="00E91965"/>
    <w:rsid w:val="00EE75ED"/>
    <w:rsid w:val="00EF2701"/>
    <w:rsid w:val="00F07D31"/>
    <w:rsid w:val="00F3657F"/>
    <w:rsid w:val="00F41B52"/>
    <w:rsid w:val="00F939F9"/>
    <w:rsid w:val="0117865B"/>
    <w:rsid w:val="012EEA31"/>
    <w:rsid w:val="014924BD"/>
    <w:rsid w:val="01EF1A51"/>
    <w:rsid w:val="023BA8E9"/>
    <w:rsid w:val="027B2ACB"/>
    <w:rsid w:val="0280ECCF"/>
    <w:rsid w:val="034C62FD"/>
    <w:rsid w:val="0356FBED"/>
    <w:rsid w:val="03633B59"/>
    <w:rsid w:val="042A04CB"/>
    <w:rsid w:val="043492B9"/>
    <w:rsid w:val="05089070"/>
    <w:rsid w:val="05222EDF"/>
    <w:rsid w:val="05E2FE1F"/>
    <w:rsid w:val="06AE40BF"/>
    <w:rsid w:val="06CECBAB"/>
    <w:rsid w:val="075F29E5"/>
    <w:rsid w:val="0860FC05"/>
    <w:rsid w:val="088EDF8E"/>
    <w:rsid w:val="0977218D"/>
    <w:rsid w:val="0A61F327"/>
    <w:rsid w:val="0B35F1E7"/>
    <w:rsid w:val="0BE52E58"/>
    <w:rsid w:val="0BFE3F5B"/>
    <w:rsid w:val="0C3EE728"/>
    <w:rsid w:val="0CBFBE8E"/>
    <w:rsid w:val="0CF0DA5A"/>
    <w:rsid w:val="0E52328D"/>
    <w:rsid w:val="1098B216"/>
    <w:rsid w:val="10998F4A"/>
    <w:rsid w:val="10BC7AE0"/>
    <w:rsid w:val="1143D910"/>
    <w:rsid w:val="11CC78D5"/>
    <w:rsid w:val="11D3A551"/>
    <w:rsid w:val="128E01B0"/>
    <w:rsid w:val="12DC4D56"/>
    <w:rsid w:val="1335B724"/>
    <w:rsid w:val="141EE3D7"/>
    <w:rsid w:val="143404E9"/>
    <w:rsid w:val="14608376"/>
    <w:rsid w:val="148E6B86"/>
    <w:rsid w:val="156C0A1E"/>
    <w:rsid w:val="15AFF9C5"/>
    <w:rsid w:val="15E0543E"/>
    <w:rsid w:val="15EDFC6E"/>
    <w:rsid w:val="16768832"/>
    <w:rsid w:val="172F79BD"/>
    <w:rsid w:val="1742AB28"/>
    <w:rsid w:val="175EFD39"/>
    <w:rsid w:val="1811DEFF"/>
    <w:rsid w:val="1813E561"/>
    <w:rsid w:val="190DE809"/>
    <w:rsid w:val="195D6280"/>
    <w:rsid w:val="1AD9F040"/>
    <w:rsid w:val="1B1D9FB2"/>
    <w:rsid w:val="1B1E26F1"/>
    <w:rsid w:val="1B775C65"/>
    <w:rsid w:val="1B8DD37C"/>
    <w:rsid w:val="1B9A471D"/>
    <w:rsid w:val="1CA0C9BE"/>
    <w:rsid w:val="1CBB5A81"/>
    <w:rsid w:val="1CD27AA6"/>
    <w:rsid w:val="1D0F83CB"/>
    <w:rsid w:val="1D5956BD"/>
    <w:rsid w:val="1DD1EDC7"/>
    <w:rsid w:val="1DDC7105"/>
    <w:rsid w:val="1E66B395"/>
    <w:rsid w:val="1F6471A9"/>
    <w:rsid w:val="1F8BFB02"/>
    <w:rsid w:val="201EDE82"/>
    <w:rsid w:val="20773BA3"/>
    <w:rsid w:val="2153855F"/>
    <w:rsid w:val="2163BB94"/>
    <w:rsid w:val="2257C866"/>
    <w:rsid w:val="22BBA224"/>
    <w:rsid w:val="22D74206"/>
    <w:rsid w:val="22F2532C"/>
    <w:rsid w:val="239E2B90"/>
    <w:rsid w:val="2449DFEA"/>
    <w:rsid w:val="2453EC9C"/>
    <w:rsid w:val="247839CC"/>
    <w:rsid w:val="2502FD0D"/>
    <w:rsid w:val="2549FD37"/>
    <w:rsid w:val="25B0209B"/>
    <w:rsid w:val="25DF8066"/>
    <w:rsid w:val="261BEDB5"/>
    <w:rsid w:val="2646DBBC"/>
    <w:rsid w:val="26953CF6"/>
    <w:rsid w:val="269AB016"/>
    <w:rsid w:val="27B9B268"/>
    <w:rsid w:val="29013806"/>
    <w:rsid w:val="29441E17"/>
    <w:rsid w:val="29942AB3"/>
    <w:rsid w:val="29BBEDBA"/>
    <w:rsid w:val="2A015538"/>
    <w:rsid w:val="2A9EE8BE"/>
    <w:rsid w:val="2ADA461F"/>
    <w:rsid w:val="2B958DC5"/>
    <w:rsid w:val="2BC46E20"/>
    <w:rsid w:val="2C9BA509"/>
    <w:rsid w:val="2D9DED3A"/>
    <w:rsid w:val="2E33C8B2"/>
    <w:rsid w:val="2EEE83DE"/>
    <w:rsid w:val="2F853434"/>
    <w:rsid w:val="2FBB4F99"/>
    <w:rsid w:val="3062C7F0"/>
    <w:rsid w:val="30BDD249"/>
    <w:rsid w:val="3252956E"/>
    <w:rsid w:val="335F6568"/>
    <w:rsid w:val="342A70FE"/>
    <w:rsid w:val="346B08CF"/>
    <w:rsid w:val="34A3937D"/>
    <w:rsid w:val="350ECA54"/>
    <w:rsid w:val="35BADD4C"/>
    <w:rsid w:val="36D394A6"/>
    <w:rsid w:val="378F823E"/>
    <w:rsid w:val="3A784D1A"/>
    <w:rsid w:val="3C6A69ED"/>
    <w:rsid w:val="3CD917C3"/>
    <w:rsid w:val="3D829D52"/>
    <w:rsid w:val="3DE19493"/>
    <w:rsid w:val="3E3A7915"/>
    <w:rsid w:val="3F31AA9C"/>
    <w:rsid w:val="3F3A3A50"/>
    <w:rsid w:val="3F53BE08"/>
    <w:rsid w:val="3F7B0332"/>
    <w:rsid w:val="400963AA"/>
    <w:rsid w:val="40848FFF"/>
    <w:rsid w:val="40C8DEE2"/>
    <w:rsid w:val="41049D48"/>
    <w:rsid w:val="4135314B"/>
    <w:rsid w:val="413B0383"/>
    <w:rsid w:val="4154F2C8"/>
    <w:rsid w:val="41B0E7A0"/>
    <w:rsid w:val="453AD244"/>
    <w:rsid w:val="4622D726"/>
    <w:rsid w:val="46A18657"/>
    <w:rsid w:val="46A94D1E"/>
    <w:rsid w:val="4705E6C0"/>
    <w:rsid w:val="47C110E4"/>
    <w:rsid w:val="48A71B32"/>
    <w:rsid w:val="48BD6B6B"/>
    <w:rsid w:val="48E24E7B"/>
    <w:rsid w:val="495CE16A"/>
    <w:rsid w:val="499FA5B2"/>
    <w:rsid w:val="49BCB530"/>
    <w:rsid w:val="4A09B0C0"/>
    <w:rsid w:val="4A84B15F"/>
    <w:rsid w:val="4AD50C3D"/>
    <w:rsid w:val="4D3D72BE"/>
    <w:rsid w:val="4D8D7714"/>
    <w:rsid w:val="4E1A60CE"/>
    <w:rsid w:val="4E47A79C"/>
    <w:rsid w:val="4E502C51"/>
    <w:rsid w:val="4EEAC24C"/>
    <w:rsid w:val="4F31CABA"/>
    <w:rsid w:val="4F8ADE13"/>
    <w:rsid w:val="4F9D64FF"/>
    <w:rsid w:val="4FB4ECE3"/>
    <w:rsid w:val="50DB30EA"/>
    <w:rsid w:val="5109D781"/>
    <w:rsid w:val="51253DA7"/>
    <w:rsid w:val="51CBA701"/>
    <w:rsid w:val="52511A68"/>
    <w:rsid w:val="52C3BDF6"/>
    <w:rsid w:val="5376AB5E"/>
    <w:rsid w:val="5405AA2C"/>
    <w:rsid w:val="5421F476"/>
    <w:rsid w:val="54339CEA"/>
    <w:rsid w:val="54DCA5F8"/>
    <w:rsid w:val="55221904"/>
    <w:rsid w:val="56663F62"/>
    <w:rsid w:val="5668BCB6"/>
    <w:rsid w:val="56994C4E"/>
    <w:rsid w:val="57162CB7"/>
    <w:rsid w:val="57321217"/>
    <w:rsid w:val="5804CE57"/>
    <w:rsid w:val="587DBCA2"/>
    <w:rsid w:val="5883CA1A"/>
    <w:rsid w:val="58C14438"/>
    <w:rsid w:val="596CD8A2"/>
    <w:rsid w:val="59EA2186"/>
    <w:rsid w:val="5A0863B5"/>
    <w:rsid w:val="5B5BB0B8"/>
    <w:rsid w:val="5BC762FF"/>
    <w:rsid w:val="5C18D38E"/>
    <w:rsid w:val="5CCC2715"/>
    <w:rsid w:val="60B5208B"/>
    <w:rsid w:val="61522C1D"/>
    <w:rsid w:val="6248A5FA"/>
    <w:rsid w:val="62B5DA5C"/>
    <w:rsid w:val="6473DF4B"/>
    <w:rsid w:val="64C279FE"/>
    <w:rsid w:val="6506D7BD"/>
    <w:rsid w:val="6513AA27"/>
    <w:rsid w:val="6572313D"/>
    <w:rsid w:val="6802300D"/>
    <w:rsid w:val="68162D26"/>
    <w:rsid w:val="68A9C284"/>
    <w:rsid w:val="68DF19C2"/>
    <w:rsid w:val="69429187"/>
    <w:rsid w:val="69CDB7B8"/>
    <w:rsid w:val="6ACD66FF"/>
    <w:rsid w:val="6AFB9D4C"/>
    <w:rsid w:val="6B6BBC1C"/>
    <w:rsid w:val="6BAEDDFA"/>
    <w:rsid w:val="6D040B69"/>
    <w:rsid w:val="6E12CFDB"/>
    <w:rsid w:val="6E5B3FB8"/>
    <w:rsid w:val="6E7AC86B"/>
    <w:rsid w:val="6E91C4F9"/>
    <w:rsid w:val="6FD35DFC"/>
    <w:rsid w:val="7007FD37"/>
    <w:rsid w:val="704F767B"/>
    <w:rsid w:val="71942042"/>
    <w:rsid w:val="72565A89"/>
    <w:rsid w:val="7286F17B"/>
    <w:rsid w:val="73929D59"/>
    <w:rsid w:val="739ACE9C"/>
    <w:rsid w:val="74EFD623"/>
    <w:rsid w:val="75D9F603"/>
    <w:rsid w:val="763A4C11"/>
    <w:rsid w:val="7653F9C2"/>
    <w:rsid w:val="7662C684"/>
    <w:rsid w:val="7698C548"/>
    <w:rsid w:val="775FF40C"/>
    <w:rsid w:val="77854B94"/>
    <w:rsid w:val="77E8CB9E"/>
    <w:rsid w:val="77F9F3B0"/>
    <w:rsid w:val="78C81487"/>
    <w:rsid w:val="78EC9EEB"/>
    <w:rsid w:val="79AFF7F5"/>
    <w:rsid w:val="7AB062B0"/>
    <w:rsid w:val="7AC189CB"/>
    <w:rsid w:val="7ACE9ED2"/>
    <w:rsid w:val="7AFB2491"/>
    <w:rsid w:val="7B356302"/>
    <w:rsid w:val="7B5C6D7B"/>
    <w:rsid w:val="7B61A0B9"/>
    <w:rsid w:val="7CC66AC5"/>
    <w:rsid w:val="7CD40BA5"/>
    <w:rsid w:val="7D10DDDA"/>
    <w:rsid w:val="7D5B6E5B"/>
    <w:rsid w:val="7D78F68F"/>
    <w:rsid w:val="7DB14ADC"/>
    <w:rsid w:val="7E20E25A"/>
    <w:rsid w:val="7E412912"/>
    <w:rsid w:val="7E90F2EB"/>
    <w:rsid w:val="7F573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04C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372"/>
    <w:rPr>
      <w:lang w:val="es-ES"/>
    </w:rPr>
  </w:style>
  <w:style w:type="paragraph" w:styleId="Heading1">
    <w:name w:val="heading 1"/>
    <w:basedOn w:val="Normal"/>
    <w:next w:val="Normal"/>
    <w:link w:val="Heading1Char"/>
    <w:uiPriority w:val="9"/>
    <w:qFormat/>
    <w:rsid w:val="00795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ubtitulo (seccion)"/>
    <w:basedOn w:val="Normal"/>
    <w:next w:val="Normal"/>
    <w:link w:val="Heading2Char"/>
    <w:uiPriority w:val="9"/>
    <w:unhideWhenUsed/>
    <w:qFormat/>
    <w:rsid w:val="00795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3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3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3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3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372"/>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aliases w:val="Subtitulo (seccion) Char"/>
    <w:basedOn w:val="DefaultParagraphFont"/>
    <w:link w:val="Heading2"/>
    <w:uiPriority w:val="9"/>
    <w:rsid w:val="00795372"/>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95372"/>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95372"/>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95372"/>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95372"/>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95372"/>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95372"/>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95372"/>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7953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372"/>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7953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372"/>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953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5372"/>
    <w:rPr>
      <w:i/>
      <w:iCs/>
      <w:color w:val="404040" w:themeColor="text1" w:themeTint="BF"/>
      <w:lang w:val="es-ES"/>
    </w:rPr>
  </w:style>
  <w:style w:type="paragraph" w:styleId="ListParagraph">
    <w:name w:val="List Paragraph"/>
    <w:basedOn w:val="Normal"/>
    <w:uiPriority w:val="34"/>
    <w:qFormat/>
    <w:rsid w:val="00795372"/>
    <w:pPr>
      <w:ind w:left="720"/>
      <w:contextualSpacing/>
    </w:pPr>
  </w:style>
  <w:style w:type="character" w:styleId="IntenseEmphasis">
    <w:name w:val="Intense Emphasis"/>
    <w:basedOn w:val="DefaultParagraphFont"/>
    <w:uiPriority w:val="21"/>
    <w:qFormat/>
    <w:rsid w:val="00795372"/>
    <w:rPr>
      <w:i/>
      <w:iCs/>
      <w:color w:val="0F4761" w:themeColor="accent1" w:themeShade="BF"/>
    </w:rPr>
  </w:style>
  <w:style w:type="paragraph" w:styleId="IntenseQuote">
    <w:name w:val="Intense Quote"/>
    <w:basedOn w:val="Normal"/>
    <w:next w:val="Normal"/>
    <w:link w:val="IntenseQuoteChar"/>
    <w:uiPriority w:val="30"/>
    <w:qFormat/>
    <w:rsid w:val="00795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372"/>
    <w:rPr>
      <w:i/>
      <w:iCs/>
      <w:color w:val="0F4761" w:themeColor="accent1" w:themeShade="BF"/>
      <w:lang w:val="es-ES"/>
    </w:rPr>
  </w:style>
  <w:style w:type="character" w:styleId="IntenseReference">
    <w:name w:val="Intense Reference"/>
    <w:basedOn w:val="DefaultParagraphFont"/>
    <w:uiPriority w:val="32"/>
    <w:qFormat/>
    <w:rsid w:val="00795372"/>
    <w:rPr>
      <w:b/>
      <w:bCs/>
      <w:smallCaps/>
      <w:color w:val="0F4761" w:themeColor="accent1" w:themeShade="BF"/>
      <w:spacing w:val="5"/>
    </w:rPr>
  </w:style>
  <w:style w:type="character" w:styleId="Hyperlink">
    <w:name w:val="Hyperlink"/>
    <w:basedOn w:val="DefaultParagraphFont"/>
    <w:uiPriority w:val="99"/>
    <w:unhideWhenUsed/>
    <w:rsid w:val="001D57F8"/>
    <w:rPr>
      <w:color w:val="467886" w:themeColor="hyperlink"/>
      <w:u w:val="single"/>
    </w:rPr>
  </w:style>
  <w:style w:type="character" w:styleId="UnresolvedMention">
    <w:name w:val="Unresolved Mention"/>
    <w:basedOn w:val="DefaultParagraphFont"/>
    <w:uiPriority w:val="99"/>
    <w:semiHidden/>
    <w:unhideWhenUsed/>
    <w:rsid w:val="001D57F8"/>
    <w:rPr>
      <w:color w:val="605E5C"/>
      <w:shd w:val="clear" w:color="auto" w:fill="E1DFDD"/>
    </w:rPr>
  </w:style>
  <w:style w:type="paragraph" w:customStyle="1" w:styleId="Referencias">
    <w:name w:val="Referencias"/>
    <w:basedOn w:val="Normal"/>
    <w:qFormat/>
    <w:rsid w:val="0042341B"/>
    <w:pPr>
      <w:spacing w:after="240" w:line="360" w:lineRule="auto"/>
      <w:ind w:left="708"/>
      <w:jc w:val="both"/>
    </w:pPr>
    <w:rPr>
      <w:rFonts w:ascii="Times New Roman" w:eastAsia="Times New Roman" w:hAnsi="Times New Roman" w:cs="Times New Roman"/>
      <w:kern w:val="0"/>
      <w:sz w:val="20"/>
      <w:szCs w:val="20"/>
      <w:lang w:val="es-MX"/>
      <w14:ligatures w14:val="none"/>
    </w:rPr>
  </w:style>
  <w:style w:type="character" w:customStyle="1" w:styleId="Italicas">
    <w:name w:val="Italicas"/>
    <w:basedOn w:val="DefaultParagraphFont"/>
    <w:uiPriority w:val="1"/>
    <w:qFormat/>
    <w:rsid w:val="0042341B"/>
    <w:rPr>
      <w:i/>
      <w:iCs/>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709095">
      <w:bodyDiv w:val="1"/>
      <w:marLeft w:val="0"/>
      <w:marRight w:val="0"/>
      <w:marTop w:val="0"/>
      <w:marBottom w:val="0"/>
      <w:divBdr>
        <w:top w:val="none" w:sz="0" w:space="0" w:color="auto"/>
        <w:left w:val="none" w:sz="0" w:space="0" w:color="auto"/>
        <w:bottom w:val="none" w:sz="0" w:space="0" w:color="auto"/>
        <w:right w:val="none" w:sz="0" w:space="0" w:color="auto"/>
      </w:divBdr>
      <w:divsChild>
        <w:div w:id="1879779068">
          <w:marLeft w:val="0"/>
          <w:marRight w:val="0"/>
          <w:marTop w:val="0"/>
          <w:marBottom w:val="0"/>
          <w:divBdr>
            <w:top w:val="none" w:sz="0" w:space="0" w:color="auto"/>
            <w:left w:val="none" w:sz="0" w:space="0" w:color="auto"/>
            <w:bottom w:val="none" w:sz="0" w:space="0" w:color="auto"/>
            <w:right w:val="none" w:sz="0" w:space="0" w:color="auto"/>
          </w:divBdr>
        </w:div>
        <w:div w:id="792863564">
          <w:marLeft w:val="0"/>
          <w:marRight w:val="0"/>
          <w:marTop w:val="0"/>
          <w:marBottom w:val="0"/>
          <w:divBdr>
            <w:top w:val="none" w:sz="0" w:space="0" w:color="auto"/>
            <w:left w:val="none" w:sz="0" w:space="0" w:color="auto"/>
            <w:bottom w:val="none" w:sz="0" w:space="0" w:color="auto"/>
            <w:right w:val="none" w:sz="0" w:space="0" w:color="auto"/>
          </w:divBdr>
        </w:div>
        <w:div w:id="535430586">
          <w:marLeft w:val="0"/>
          <w:marRight w:val="0"/>
          <w:marTop w:val="0"/>
          <w:marBottom w:val="0"/>
          <w:divBdr>
            <w:top w:val="none" w:sz="0" w:space="0" w:color="auto"/>
            <w:left w:val="none" w:sz="0" w:space="0" w:color="auto"/>
            <w:bottom w:val="none" w:sz="0" w:space="0" w:color="auto"/>
            <w:right w:val="none" w:sz="0" w:space="0" w:color="auto"/>
          </w:divBdr>
        </w:div>
        <w:div w:id="1242254732">
          <w:marLeft w:val="0"/>
          <w:marRight w:val="0"/>
          <w:marTop w:val="0"/>
          <w:marBottom w:val="0"/>
          <w:divBdr>
            <w:top w:val="none" w:sz="0" w:space="0" w:color="auto"/>
            <w:left w:val="none" w:sz="0" w:space="0" w:color="auto"/>
            <w:bottom w:val="none" w:sz="0" w:space="0" w:color="auto"/>
            <w:right w:val="none" w:sz="0" w:space="0" w:color="auto"/>
          </w:divBdr>
        </w:div>
      </w:divsChild>
    </w:div>
    <w:div w:id="1299456738">
      <w:bodyDiv w:val="1"/>
      <w:marLeft w:val="0"/>
      <w:marRight w:val="0"/>
      <w:marTop w:val="0"/>
      <w:marBottom w:val="0"/>
      <w:divBdr>
        <w:top w:val="none" w:sz="0" w:space="0" w:color="auto"/>
        <w:left w:val="none" w:sz="0" w:space="0" w:color="auto"/>
        <w:bottom w:val="none" w:sz="0" w:space="0" w:color="auto"/>
        <w:right w:val="none" w:sz="0" w:space="0" w:color="auto"/>
      </w:divBdr>
      <w:divsChild>
        <w:div w:id="253173775">
          <w:marLeft w:val="0"/>
          <w:marRight w:val="0"/>
          <w:marTop w:val="0"/>
          <w:marBottom w:val="0"/>
          <w:divBdr>
            <w:top w:val="none" w:sz="0" w:space="0" w:color="auto"/>
            <w:left w:val="none" w:sz="0" w:space="0" w:color="auto"/>
            <w:bottom w:val="none" w:sz="0" w:space="0" w:color="auto"/>
            <w:right w:val="none" w:sz="0" w:space="0" w:color="auto"/>
          </w:divBdr>
        </w:div>
        <w:div w:id="2077390008">
          <w:marLeft w:val="0"/>
          <w:marRight w:val="0"/>
          <w:marTop w:val="0"/>
          <w:marBottom w:val="0"/>
          <w:divBdr>
            <w:top w:val="none" w:sz="0" w:space="0" w:color="auto"/>
            <w:left w:val="none" w:sz="0" w:space="0" w:color="auto"/>
            <w:bottom w:val="none" w:sz="0" w:space="0" w:color="auto"/>
            <w:right w:val="none" w:sz="0" w:space="0" w:color="auto"/>
          </w:divBdr>
        </w:div>
        <w:div w:id="1428505383">
          <w:marLeft w:val="0"/>
          <w:marRight w:val="0"/>
          <w:marTop w:val="0"/>
          <w:marBottom w:val="0"/>
          <w:divBdr>
            <w:top w:val="none" w:sz="0" w:space="0" w:color="auto"/>
            <w:left w:val="none" w:sz="0" w:space="0" w:color="auto"/>
            <w:bottom w:val="none" w:sz="0" w:space="0" w:color="auto"/>
            <w:right w:val="none" w:sz="0" w:space="0" w:color="auto"/>
          </w:divBdr>
        </w:div>
        <w:div w:id="1020475665">
          <w:marLeft w:val="0"/>
          <w:marRight w:val="0"/>
          <w:marTop w:val="0"/>
          <w:marBottom w:val="0"/>
          <w:divBdr>
            <w:top w:val="none" w:sz="0" w:space="0" w:color="auto"/>
            <w:left w:val="none" w:sz="0" w:space="0" w:color="auto"/>
            <w:bottom w:val="none" w:sz="0" w:space="0" w:color="auto"/>
            <w:right w:val="none" w:sz="0" w:space="0" w:color="auto"/>
          </w:divBdr>
        </w:div>
      </w:divsChild>
    </w:div>
    <w:div w:id="1540318652">
      <w:bodyDiv w:val="1"/>
      <w:marLeft w:val="0"/>
      <w:marRight w:val="0"/>
      <w:marTop w:val="0"/>
      <w:marBottom w:val="0"/>
      <w:divBdr>
        <w:top w:val="none" w:sz="0" w:space="0" w:color="auto"/>
        <w:left w:val="none" w:sz="0" w:space="0" w:color="auto"/>
        <w:bottom w:val="none" w:sz="0" w:space="0" w:color="auto"/>
        <w:right w:val="none" w:sz="0" w:space="0" w:color="auto"/>
      </w:divBdr>
    </w:div>
    <w:div w:id="194368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mexico-drugs-rap/rappers-risk-lives-to-protest-mexicos-drug-war-idUSTRE74C4KJ20110513/"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5195/reviberoamer.2018.7683" TargetMode="External"/><Relationship Id="rId5" Type="http://schemas.openxmlformats.org/officeDocument/2006/relationships/styles" Target="styles.xml"/><Relationship Id="rId10" Type="http://schemas.openxmlformats.org/officeDocument/2006/relationships/hyperlink" Target="https://doi.org/10.1080/14650045.2015.1014284" TargetMode="External"/><Relationship Id="rId4" Type="http://schemas.openxmlformats.org/officeDocument/2006/relationships/numbering" Target="numbering.xml"/><Relationship Id="rId9" Type="http://schemas.openxmlformats.org/officeDocument/2006/relationships/hyperlink" Target="https://doi.org/10.15366/riejs2021.10.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E70CF52BCA4A419B809E2985EAEF99" ma:contentTypeVersion="8" ma:contentTypeDescription="Create a new document." ma:contentTypeScope="" ma:versionID="208aefe2a6e1a1ce16725aba66601866">
  <xsd:schema xmlns:xsd="http://www.w3.org/2001/XMLSchema" xmlns:xs="http://www.w3.org/2001/XMLSchema" xmlns:p="http://schemas.microsoft.com/office/2006/metadata/properties" xmlns:ns2="c7375dee-e245-43c0-9937-88c3948a2884" targetNamespace="http://schemas.microsoft.com/office/2006/metadata/properties" ma:root="true" ma:fieldsID="efecbada6923f22db6f0ca72d842bb61" ns2:_="">
    <xsd:import namespace="c7375dee-e245-43c0-9937-88c3948a28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75dee-e245-43c0-9937-88c3948a28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C1635-6D49-4A9F-B6F3-165DFB9729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42B653-D6ED-4F27-8298-33BE957EB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75dee-e245-43c0-9937-88c3948a2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3A9737-52CD-4DDC-B0A2-94DE2C23DF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14</Pages>
  <Words>4502</Words>
  <Characters>25668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2024-11-11T02:41:00Z</cp:lastPrinted>
  <dcterms:created xsi:type="dcterms:W3CDTF">2024-11-11T02:41:00Z</dcterms:created>
  <dcterms:modified xsi:type="dcterms:W3CDTF">2024-12-10T14:53:00Z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0x01010022E70CF52BCA4A419B809E2985EAEF99</vt:lpwstr>
  </property>
</Properties>
</file>