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FF2D5" w14:textId="77777777" w:rsidR="00A43AE1" w:rsidRPr="00A43AE1" w:rsidRDefault="00A43AE1" w:rsidP="00A43AE1">
      <w:pPr>
        <w:pStyle w:val="Heading1"/>
        <w:rPr>
          <w:rFonts w:eastAsia="Times New Roman"/>
          <w:lang w:eastAsia="en-GB"/>
        </w:rPr>
      </w:pPr>
      <w:r w:rsidRPr="00A43AE1">
        <w:rPr>
          <w:rFonts w:eastAsia="Times New Roman"/>
          <w:lang w:eastAsia="en-GB"/>
        </w:rPr>
        <w:t>Main Cities of Belgium's Provinces</w:t>
      </w:r>
    </w:p>
    <w:p w14:paraId="5F438A80" w14:textId="77777777" w:rsidR="00A43AE1" w:rsidRPr="00A43AE1" w:rsidRDefault="00A43AE1" w:rsidP="00A43AE1">
      <w:pPr>
        <w:pStyle w:val="Heading2"/>
        <w:rPr>
          <w:rFonts w:eastAsia="Times New Roman"/>
          <w:lang w:eastAsia="en-GB"/>
        </w:rPr>
      </w:pPr>
      <w:r w:rsidRPr="00A43AE1">
        <w:rPr>
          <w:rFonts w:eastAsia="Times New Roman"/>
          <w:lang w:eastAsia="en-GB"/>
        </w:rPr>
        <w:t>Summary</w:t>
      </w:r>
    </w:p>
    <w:p w14:paraId="3D254863"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Belgium, a country rich in history and culture, is subdivided into ten provinces, each with a capital city that plays a crucial role in defining the region's identity. This document elaborates on the main cities of Belgium's provinces, exploring their cultural significance, historical background, and economic contributions.</w:t>
      </w:r>
    </w:p>
    <w:p w14:paraId="5A56C96B" w14:textId="77777777" w:rsidR="00A43AE1" w:rsidRPr="00A43AE1" w:rsidRDefault="00A43AE1" w:rsidP="00A43AE1">
      <w:pPr>
        <w:pStyle w:val="Heading2"/>
        <w:rPr>
          <w:rFonts w:eastAsia="Times New Roman"/>
          <w:lang w:eastAsia="en-GB"/>
        </w:rPr>
      </w:pPr>
      <w:r w:rsidRPr="00A43AE1">
        <w:rPr>
          <w:rFonts w:eastAsia="Times New Roman"/>
          <w:lang w:eastAsia="en-GB"/>
        </w:rPr>
        <w:t>Antwerp (Antwerpen)</w:t>
      </w:r>
    </w:p>
    <w:p w14:paraId="4E79E456"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Antwerp, the capital city of the Antwerp province, is internationally recognized for its thriving diamond district, which accounts for a significant portion of the global diamond trade. This historical port city on the River Scheldt hosts one of Europe's largest and most significant ports, facilitating international trade and commerce. The city's economic vitality is complemented by a vibrant cultural scene, with attractions such as the Royal Museum of Fine Arts and the Cathedral of Our Lady, which houses masterpieces by Peter Paul Rubens. Antwerp's architectural diversity, ranging from medieval facades to modern structures, reflects its rich history and contemporary aspirations.</w:t>
      </w:r>
    </w:p>
    <w:p w14:paraId="3539A89C" w14:textId="77777777" w:rsidR="00A43AE1" w:rsidRPr="00A43AE1" w:rsidRDefault="00A43AE1" w:rsidP="00A43AE1">
      <w:pPr>
        <w:pStyle w:val="Heading2"/>
        <w:rPr>
          <w:rFonts w:eastAsia="Times New Roman"/>
          <w:lang w:eastAsia="en-GB"/>
        </w:rPr>
      </w:pPr>
      <w:r w:rsidRPr="00A43AE1">
        <w:rPr>
          <w:rFonts w:eastAsia="Times New Roman"/>
          <w:lang w:eastAsia="en-GB"/>
        </w:rPr>
        <w:t>Ghent (Gent)</w:t>
      </w:r>
    </w:p>
    <w:p w14:paraId="00063BB2"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Ghent serves as the capital of East Flanders and stands out for its remarkable preservation of medieval architecture, offering a picturesque landscape complemented by modern vibrancy. The city is home to the imposing Gravensteen castle and the Saint Bavo's Cathedral, which houses the renowned Ghent Altarpiece. Ghent’s status as a university town, with a student population contributing to its lively atmosphere, is further enhanced by its commitment to sustainability and innovation, positioning it as a forward-thinking city. The annual Ghent Festival and the renowned Light Festival exemplify the city’s dedication to cultural expression and community engagement.</w:t>
      </w:r>
    </w:p>
    <w:p w14:paraId="0A2CD909" w14:textId="77777777" w:rsidR="00A43AE1" w:rsidRPr="00A43AE1" w:rsidRDefault="00A43AE1" w:rsidP="00A43AE1">
      <w:pPr>
        <w:pStyle w:val="Heading2"/>
        <w:rPr>
          <w:rFonts w:eastAsia="Times New Roman"/>
          <w:lang w:eastAsia="en-GB"/>
        </w:rPr>
      </w:pPr>
      <w:r w:rsidRPr="00A43AE1">
        <w:rPr>
          <w:rFonts w:eastAsia="Times New Roman"/>
          <w:lang w:eastAsia="en-GB"/>
        </w:rPr>
        <w:t>Bruges (Brugge)</w:t>
      </w:r>
    </w:p>
    <w:p w14:paraId="758ED8AD"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Bruges, the capital of West Flanders, captivates visitors with its enchanting canals, cobblestone streets, and medieval structures that have earned it the moniker "Venice of the North." This UNESCO World Heritage Site is an exemplar of Gothic architecture, particularly in its market square and the Belfry of Bruges. Bruges is renowned for its long-standing traditions, including lace-making and high-quality chocolate production, which continue to thrive. The city plays host to numerous cultural events that celebrate its historical legacy, such as the Procession of the Holy Blood, reinforcing Bruges’ status as a destination that seamlessly marries the past with the present.</w:t>
      </w:r>
    </w:p>
    <w:p w14:paraId="041B6B5E" w14:textId="77777777" w:rsidR="00A43AE1" w:rsidRPr="00A43AE1" w:rsidRDefault="00A43AE1" w:rsidP="00A43AE1">
      <w:pPr>
        <w:pStyle w:val="Heading2"/>
        <w:rPr>
          <w:rFonts w:eastAsia="Times New Roman"/>
          <w:lang w:eastAsia="en-GB"/>
        </w:rPr>
      </w:pPr>
      <w:r w:rsidRPr="00A43AE1">
        <w:rPr>
          <w:rFonts w:eastAsia="Times New Roman"/>
          <w:lang w:eastAsia="en-GB"/>
        </w:rPr>
        <w:t>Namur (Namen)</w:t>
      </w:r>
    </w:p>
    <w:p w14:paraId="2AF2A27B"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 xml:space="preserve">Namur, the capital of the province of Namur, is strategically positioned at the junction of the Sambre and Meuse rivers, historically serving as a key military stronghold. The city is </w:t>
      </w:r>
      <w:r w:rsidRPr="00A43AE1">
        <w:rPr>
          <w:rFonts w:ascii="Times New Roman" w:eastAsia="Times New Roman" w:hAnsi="Times New Roman" w:cs="Times New Roman"/>
          <w:lang w:eastAsia="en-GB"/>
        </w:rPr>
        <w:lastRenderedPageBreak/>
        <w:t>dominated by the Citadel of Namur, a fortress offering panoramic views and a glimpse into its defensive past. Namur’s relaxed ambiance and charming streets welcome visitors to explore its artistic heritage, showcased in its museums and galleries. The city’s role as a regional administrative center is underscored by its cultural offerings, including the annual Namur International French-Language Film Festival, highlighting its commitment to arts and culture.</w:t>
      </w:r>
    </w:p>
    <w:p w14:paraId="39501E67" w14:textId="77777777" w:rsidR="00A43AE1" w:rsidRPr="00A43AE1" w:rsidRDefault="00A43AE1" w:rsidP="00A43AE1">
      <w:pPr>
        <w:pStyle w:val="Heading2"/>
        <w:rPr>
          <w:rFonts w:eastAsia="Times New Roman"/>
          <w:lang w:eastAsia="en-GB"/>
        </w:rPr>
      </w:pPr>
      <w:r w:rsidRPr="00A43AE1">
        <w:rPr>
          <w:rFonts w:eastAsia="Times New Roman"/>
          <w:lang w:eastAsia="en-GB"/>
        </w:rPr>
        <w:t>Liège</w:t>
      </w:r>
    </w:p>
    <w:p w14:paraId="51AB2777"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Liège, the capital of the eponymous province, is a vibrant economic hub in eastern Belgium, known for its historic industrial roots linked to coal and steel production. Today, Liège embraces a rich cultural tapestry, with a dynamic nightlife and culinary scene celebrated through its specialty, the Liège waffle. The city is home to significant cultural venues, including the Théâtre de Liège and the Liège Opera House, which anchor its reputation as a center of performing arts. Liège’s strategic location near the borders of Germany and the Netherlands further enhances its role as an international business and cultural crossroads.</w:t>
      </w:r>
    </w:p>
    <w:p w14:paraId="2E15D61A" w14:textId="77777777" w:rsidR="00A43AE1" w:rsidRPr="00A43AE1" w:rsidRDefault="00A43AE1" w:rsidP="00A43AE1">
      <w:pPr>
        <w:pStyle w:val="Heading2"/>
        <w:rPr>
          <w:rFonts w:eastAsia="Times New Roman"/>
          <w:lang w:eastAsia="en-GB"/>
        </w:rPr>
      </w:pPr>
      <w:r w:rsidRPr="00A43AE1">
        <w:rPr>
          <w:rFonts w:eastAsia="Times New Roman"/>
          <w:lang w:eastAsia="en-GB"/>
        </w:rPr>
        <w:t>Leuven</w:t>
      </w:r>
    </w:p>
    <w:p w14:paraId="16C35D11"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Leuven, the thriving capital of Flemish Brabant, is noted for housing KU Leuven, one of the world’s most prestigious and oldest universities, which profoundly influences the city’s demographic and cultural landscape. This academic heritage is juxtaposed with Leuven’s rich history, evident in its extravagant Gothic architecture like the Town Hall and St. Peter's Church. The city’s young, dynamic population contributes to a vibrant social and cultural scene characterized by numerous festivals and events, including the Leuven Innovation Beer Festival, which celebrates Belgium’s renowned brewing tradition and the city’s innovative spirit.</w:t>
      </w:r>
    </w:p>
    <w:p w14:paraId="5FD622CD" w14:textId="77777777" w:rsidR="00A43AE1" w:rsidRPr="00A43AE1" w:rsidRDefault="00A43AE1" w:rsidP="00A43AE1">
      <w:pPr>
        <w:pStyle w:val="Heading2"/>
        <w:rPr>
          <w:rFonts w:eastAsia="Times New Roman"/>
          <w:lang w:eastAsia="en-GB"/>
        </w:rPr>
      </w:pPr>
      <w:r w:rsidRPr="00A43AE1">
        <w:rPr>
          <w:rFonts w:eastAsia="Times New Roman"/>
          <w:lang w:eastAsia="en-GB"/>
        </w:rPr>
        <w:t>Hasselt</w:t>
      </w:r>
    </w:p>
    <w:p w14:paraId="3501F335"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Hasselt, the capital of Limburg, is recognized for its role as a fashion and shopping destination, offering a variety of chic boutiques and modern retail experiences. Known for its intimate and appealing streetscapes, Hasselt hosts the Pukkelpop music festival, which draws a diverse crowd from across Europe. The city is also famed for its production of Jenever, a traditional gin that reflects its strong ties to local traditions and craftsmanship. Hasselt's commitment to maintaining a balance between modernity and heritage is evident in its cultural events and preservation of historic sites.</w:t>
      </w:r>
    </w:p>
    <w:p w14:paraId="26DBFED7" w14:textId="77777777" w:rsidR="00A43AE1" w:rsidRPr="00A43AE1" w:rsidRDefault="00A43AE1" w:rsidP="00A43AE1">
      <w:pPr>
        <w:pStyle w:val="Heading2"/>
        <w:rPr>
          <w:rFonts w:eastAsia="Times New Roman"/>
          <w:lang w:eastAsia="en-GB"/>
        </w:rPr>
      </w:pPr>
      <w:r w:rsidRPr="00A43AE1">
        <w:rPr>
          <w:rFonts w:eastAsia="Times New Roman"/>
          <w:lang w:eastAsia="en-GB"/>
        </w:rPr>
        <w:t>Mons (Bergen)</w:t>
      </w:r>
    </w:p>
    <w:p w14:paraId="60CC35A0"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Mons, serving as the capital of Hainaut, gained international attention as the European Capital of Culture in 2015, a testament to its rich cultural landscape. The city is steeped in history, with landmarks such as the UNESCO-listed belfry and the striking architecture of the Grand Place exemplifying its architectural and historical significance. Mons’ annual Doudou festival, recognized by UNESCO as an Intangible Cultural Heritage of Humanity, showcases the city’s unique traditions and communal spirit. The festival's elaborately orchestrated events reflect Mons’ enduring cultural vibrancy and commitment to celebrating its heritage.</w:t>
      </w:r>
    </w:p>
    <w:p w14:paraId="15322BD2" w14:textId="77777777" w:rsidR="00A43AE1" w:rsidRPr="00A43AE1" w:rsidRDefault="00A43AE1" w:rsidP="00A43AE1">
      <w:pPr>
        <w:pStyle w:val="Heading2"/>
        <w:rPr>
          <w:rFonts w:eastAsia="Times New Roman"/>
          <w:lang w:eastAsia="en-GB"/>
        </w:rPr>
      </w:pPr>
      <w:r w:rsidRPr="00A43AE1">
        <w:rPr>
          <w:rFonts w:eastAsia="Times New Roman"/>
          <w:lang w:eastAsia="en-GB"/>
        </w:rPr>
        <w:lastRenderedPageBreak/>
        <w:t>Arlon</w:t>
      </w:r>
    </w:p>
    <w:p w14:paraId="40C7D1F5"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As the capital city of Luxembourg province, Arlon stands among Belgium's oldest cities, with its origins tracing back to Roman times. The city's historical significance is underscored by its archaeological museum, which boasts a remarkable collection of Roman artifacts, offering insights into its ancient past. Arlon’s landscape, characterized by rolling hills and green vistas, provides a picturesque backdrop to its historical and cultural offerings. The city’s strategic location near the border with Luxembourg and France enhances its cross-cultural interactions, making it a charming and historically rich destination.</w:t>
      </w:r>
    </w:p>
    <w:p w14:paraId="4CCE8676" w14:textId="77777777" w:rsidR="00A43AE1" w:rsidRPr="00A43AE1" w:rsidRDefault="00A43AE1" w:rsidP="00A43AE1">
      <w:pPr>
        <w:pStyle w:val="Heading2"/>
        <w:rPr>
          <w:rFonts w:eastAsia="Times New Roman"/>
          <w:lang w:eastAsia="en-GB"/>
        </w:rPr>
      </w:pPr>
      <w:r w:rsidRPr="00A43AE1">
        <w:rPr>
          <w:rFonts w:eastAsia="Times New Roman"/>
          <w:lang w:eastAsia="en-GB"/>
        </w:rPr>
        <w:t>Wavre</w:t>
      </w:r>
    </w:p>
    <w:p w14:paraId="2A092A45"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Wavre, the capital of Walloon Brabant, is renowned for its family-oriented attractions, with Walibi Belgium amusement park being a major draw for visitors throughout the region. The city thrives on a lively local culture, underscored by annual events such as the September Festivals, which celebrate local traditions and foster community spirit. Wavre's central positioning within Belgium makes it a convenient access point for exploring the greater Brabant region and beyond. The city’s commitment to fostering a vibrant community life is reflected in its diverse cultural events and friendly atmosphere.</w:t>
      </w:r>
    </w:p>
    <w:p w14:paraId="4464C148" w14:textId="61BC9D6B" w:rsidR="000A7C03" w:rsidRPr="00A43AE1" w:rsidRDefault="000A7C03" w:rsidP="00A43AE1"/>
    <w:sectPr w:rsidR="000A7C03" w:rsidRPr="00A43AE1">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6229C" w14:textId="77777777" w:rsidR="00677FEF" w:rsidRDefault="00677FEF" w:rsidP="00A43AE1">
      <w:r>
        <w:separator/>
      </w:r>
    </w:p>
  </w:endnote>
  <w:endnote w:type="continuationSeparator" w:id="0">
    <w:p w14:paraId="461C44A0" w14:textId="77777777" w:rsidR="00677FEF" w:rsidRDefault="00677FEF" w:rsidP="00A4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F7AE" w14:textId="67F5C5D4" w:rsidR="00A43AE1" w:rsidRDefault="00A43AE1">
    <w:pPr>
      <w:pStyle w:val="Footer"/>
    </w:pPr>
    <w:r>
      <w:rPr>
        <w:noProof/>
      </w:rPr>
      <mc:AlternateContent>
        <mc:Choice Requires="wps">
          <w:drawing>
            <wp:anchor distT="0" distB="0" distL="0" distR="0" simplePos="0" relativeHeight="251659264" behindDoc="0" locked="0" layoutInCell="1" allowOverlap="1" wp14:anchorId="5AB34C07" wp14:editId="310186F9">
              <wp:simplePos x="635" y="635"/>
              <wp:positionH relativeFrom="page">
                <wp:align>left</wp:align>
              </wp:positionH>
              <wp:positionV relativeFrom="page">
                <wp:align>bottom</wp:align>
              </wp:positionV>
              <wp:extent cx="1772285" cy="345440"/>
              <wp:effectExtent l="0" t="0" r="5715" b="0"/>
              <wp:wrapNone/>
              <wp:docPr id="1708609259"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45440"/>
                      </a:xfrm>
                      <a:prstGeom prst="rect">
                        <a:avLst/>
                      </a:prstGeom>
                      <a:noFill/>
                      <a:ln>
                        <a:noFill/>
                      </a:ln>
                    </wps:spPr>
                    <wps:txbx>
                      <w:txbxContent>
                        <w:p w14:paraId="26A70F1F" w14:textId="71FBD03B"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B34C07" id="_x0000_t202" coordsize="21600,21600" o:spt="202" path="m,l,21600r21600,l21600,xe">
              <v:stroke joinstyle="miter"/>
              <v:path gradientshapeok="t" o:connecttype="rect"/>
            </v:shapetype>
            <v:shape id="Text Box 2" o:spid="_x0000_s1026" type="#_x0000_t202" alt="Confidential – Oracle Internal" style="position:absolute;margin-left:0;margin-top:0;width:139.55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MacEAIAABsEAAAOAAAAZHJzL2Uyb0RvYy54bWysU01v2zAMvQ/YfxB0X+x4ydoZcYqsRYYB&#13;&#10;QVsgHXpWZCk2IImCpMTOfv0oxU62bqdhF5kmKX6897S467UiR+F8C6ai00lOiTAc6tbsK/r9Zf3h&#13;&#10;lhIfmKmZAiMqehKe3i3fv1t0thQFNKBq4QgWMb7sbEWbEGyZZZ43QjM/ASsMBiU4zQL+un1WO9Zh&#13;&#10;da2yIs8/ZR242jrgwnv0PpyDdJnqSyl4eJLSi0BURXG2kE6Xzl08s+WClXvHbNPyYQz2D1No1hps&#13;&#10;ein1wAIjB9f+UUq33IEHGSYcdAZStlykHXCbaf5mm23DrEi7IDjeXmDy/68sfzxu7bMjof8CPRIY&#13;&#10;AemsLz064z69dDp+cVKCcYTwdIFN9IHweOnmpihu55RwjH2czWezhGt2vW2dD18FaBKNijqkJaHF&#13;&#10;jhsfsCOmjimxmYF1q1SiRpnfHJgYPdl1xGiFftcPc++gPuE6Ds5Me8vXLfbcMB+emUNqcQOUa3jC&#13;&#10;QyroKgqDRUkD7sff/DEfEccoJR1KpaIGtUyJ+maQiWI+y/MorfSHhhuNXTKmn/N5jJuDvgdU4RQf&#13;&#10;hOXJjMlBjaZ0oF9RzavYDUPMcOxZ0d1o3oezcPE1cLFapSRUkWVhY7aWx9IRrIjkS//KnB3gDkjU&#13;&#10;I4xiYuUb1M+58aa3q0NA7BMlEdgzmgPeqMDE1PBaosR//U9Z1ze9/AkAAP//AwBQSwMEFAAGAAgA&#13;&#10;AAAhAPk0tUndAAAACQEAAA8AAABkcnMvZG93bnJldi54bWxMj8FOwzAQRO9I/IO1SNyo06gESONU&#13;&#10;FYWKKwEJjk68jaPG6xC7bfh7tlzgMtJqNLPzitXkenHEMXSeFMxnCQikxpuOWgXvb8839yBC1GR0&#13;&#10;7wkVfGOAVXl5Uejc+BO94rGKreASCrlWYGMccilDY9HpMPMDEns7Pzod+RxbaUZ94nLXyzRJMul0&#13;&#10;R/zB6gEfLTb76uAUZJvt2g4f2efXLg0vofb7WPknpa6vps2SZb0EEXGKfwk4M/B+KHlY7Q9kgugV&#13;&#10;ME38VfbSu4c5iFrB7WIBsizkf4LyBwAA//8DAFBLAQItABQABgAIAAAAIQC2gziS/gAAAOEBAAAT&#13;&#10;AAAAAAAAAAAAAAAAAAAAAABbQ29udGVudF9UeXBlc10ueG1sUEsBAi0AFAAGAAgAAAAhADj9If/W&#13;&#10;AAAAlAEAAAsAAAAAAAAAAAAAAAAALwEAAF9yZWxzLy5yZWxzUEsBAi0AFAAGAAgAAAAhAEFExpwQ&#13;&#10;AgAAGwQAAA4AAAAAAAAAAAAAAAAALgIAAGRycy9lMm9Eb2MueG1sUEsBAi0AFAAGAAgAAAAhAPk0&#13;&#10;tUndAAAACQEAAA8AAAAAAAAAAAAAAAAAagQAAGRycy9kb3ducmV2LnhtbFBLBQYAAAAABAAEAPMA&#13;&#10;AAB0BQAAAAA=&#13;&#10;" filled="f" stroked="f">
              <v:fill o:detectmouseclick="t"/>
              <v:textbox style="mso-fit-shape-to-text:t" inset="20pt,0,0,15pt">
                <w:txbxContent>
                  <w:p w14:paraId="26A70F1F" w14:textId="71FBD03B"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3882F" w14:textId="7EC83A27" w:rsidR="00A43AE1" w:rsidRDefault="00A43AE1">
    <w:pPr>
      <w:pStyle w:val="Footer"/>
    </w:pPr>
    <w:r>
      <w:rPr>
        <w:noProof/>
      </w:rPr>
      <mc:AlternateContent>
        <mc:Choice Requires="wps">
          <w:drawing>
            <wp:anchor distT="0" distB="0" distL="0" distR="0" simplePos="0" relativeHeight="251660288" behindDoc="0" locked="0" layoutInCell="1" allowOverlap="1" wp14:anchorId="626BF47C" wp14:editId="67DA88A1">
              <wp:simplePos x="0" y="0"/>
              <wp:positionH relativeFrom="page">
                <wp:align>left</wp:align>
              </wp:positionH>
              <wp:positionV relativeFrom="page">
                <wp:align>bottom</wp:align>
              </wp:positionV>
              <wp:extent cx="1772285" cy="345440"/>
              <wp:effectExtent l="0" t="0" r="5715" b="0"/>
              <wp:wrapNone/>
              <wp:docPr id="934410514"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45440"/>
                      </a:xfrm>
                      <a:prstGeom prst="rect">
                        <a:avLst/>
                      </a:prstGeom>
                      <a:noFill/>
                      <a:ln>
                        <a:noFill/>
                      </a:ln>
                    </wps:spPr>
                    <wps:txbx>
                      <w:txbxContent>
                        <w:p w14:paraId="6EEE52D4" w14:textId="47EC7212"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6BF47C" id="_x0000_t202" coordsize="21600,21600" o:spt="202" path="m,l,21600r21600,l21600,xe">
              <v:stroke joinstyle="miter"/>
              <v:path gradientshapeok="t" o:connecttype="rect"/>
            </v:shapetype>
            <v:shape id="Text Box 3" o:spid="_x0000_s1027" type="#_x0000_t202" alt="Confidential – Oracle Internal" style="position:absolute;margin-left:0;margin-top:0;width:139.55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Jz6EwIAACIEAAAOAAAAZHJzL2Uyb0RvYy54bWysU99v2jAQfp+0/8Hy+0jIYO0iQsVaMU1C&#13;&#10;bSU69dk4Nolk+yzbkLC/fmcToO36VO3Fudyd78f3fZ7d9FqRvXC+BVPR8SinRBgOdWu2Ff39tPxy&#13;&#10;TYkPzNRMgREVPQhPb+afP806W4oCGlC1cASLGF92tqJNCLbMMs8boZkfgRUGgxKcZgF/3TarHeuw&#13;&#10;ulZZkeffsg5cbR1w4T16745BOk/1pRQ8PEjpRSCqojhbSKdL5yae2XzGyq1jtmn5MAb7wBSatQab&#13;&#10;nkvdscDIzrX/lNItd+BBhhEHnYGULRdpB9xmnL/ZZt0wK9IuCI63Z5j8/yvL7/dr++hI6H9AjwRG&#13;&#10;QDrrS4/OuE8vnY5fnJRgHCE8nGETfSA8Xrq6KorrKSUcY18n08kk4Zpdblvnw08BmkSjog5pSWix&#13;&#10;/coH7Iipp5TYzMCyVSpRo8wrByZGT3YZMVqh3/SkrV+Mv4H6gFs5OBLuLV+22HrFfHhkDhnGRVC1&#13;&#10;4QEPqaCrKAwWJQ24P+/5Yz4Cj1FKOlRMRQ1KmhL1yyAhxXSS51Fh6Q8NdzI2yRh/z6cxbnb6FlCM&#13;&#10;Y3wXliczJgd1MqUD/YyiXsRuGGKGY8+Kbk7mbTjqFx8FF4tFSkIxWRZWZm15LB0xi4A+9c/M2QH1&#13;&#10;gHzdw0lTrHwD/jE33vR2sQtIQWIm4ntEc4AdhZgIGx5NVPrL/5R1edrzvwAAAP//AwBQSwMEFAAG&#13;&#10;AAgAAAAhAPk0tUndAAAACQEAAA8AAABkcnMvZG93bnJldi54bWxMj8FOwzAQRO9I/IO1SNyo06gE&#13;&#10;SONUFYWKKwEJjk68jaPG6xC7bfh7tlzgMtJqNLPzitXkenHEMXSeFMxnCQikxpuOWgXvb8839yBC&#13;&#10;1GR07wkVfGOAVXl5Uejc+BO94rGKreASCrlWYGMccilDY9HpMPMDEns7Pzod+RxbaUZ94nLXyzRJ&#13;&#10;Mul0R/zB6gEfLTb76uAUZJvt2g4f2efXLg0vofb7WPknpa6vps2SZb0EEXGKfwk4M/B+KHlY7Q9k&#13;&#10;gugVME38VfbSu4c5iFrB7WIBsizkf4LyBwAA//8DAFBLAQItABQABgAIAAAAIQC2gziS/gAAAOEB&#13;&#10;AAATAAAAAAAAAAAAAAAAAAAAAABbQ29udGVudF9UeXBlc10ueG1sUEsBAi0AFAAGAAgAAAAhADj9&#13;&#10;If/WAAAAlAEAAAsAAAAAAAAAAAAAAAAALwEAAF9yZWxzLy5yZWxzUEsBAi0AFAAGAAgAAAAhAGaU&#13;&#10;nPoTAgAAIgQAAA4AAAAAAAAAAAAAAAAALgIAAGRycy9lMm9Eb2MueG1sUEsBAi0AFAAGAAgAAAAh&#13;&#10;APk0tUndAAAACQEAAA8AAAAAAAAAAAAAAAAAbQQAAGRycy9kb3ducmV2LnhtbFBLBQYAAAAABAAE&#13;&#10;APMAAAB3BQAAAAA=&#13;&#10;" filled="f" stroked="f">
              <v:fill o:detectmouseclick="t"/>
              <v:textbox style="mso-fit-shape-to-text:t" inset="20pt,0,0,15pt">
                <w:txbxContent>
                  <w:p w14:paraId="6EEE52D4" w14:textId="47EC7212"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2CDD2" w14:textId="1A5BA93D" w:rsidR="00A43AE1" w:rsidRDefault="00A43AE1">
    <w:pPr>
      <w:pStyle w:val="Footer"/>
    </w:pPr>
    <w:r>
      <w:rPr>
        <w:noProof/>
      </w:rPr>
      <mc:AlternateContent>
        <mc:Choice Requires="wps">
          <w:drawing>
            <wp:anchor distT="0" distB="0" distL="0" distR="0" simplePos="0" relativeHeight="251658240" behindDoc="0" locked="0" layoutInCell="1" allowOverlap="1" wp14:anchorId="49783B36" wp14:editId="3D7B4793">
              <wp:simplePos x="635" y="635"/>
              <wp:positionH relativeFrom="page">
                <wp:align>left</wp:align>
              </wp:positionH>
              <wp:positionV relativeFrom="page">
                <wp:align>bottom</wp:align>
              </wp:positionV>
              <wp:extent cx="1772285" cy="345440"/>
              <wp:effectExtent l="0" t="0" r="5715" b="0"/>
              <wp:wrapNone/>
              <wp:docPr id="562618280"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45440"/>
                      </a:xfrm>
                      <a:prstGeom prst="rect">
                        <a:avLst/>
                      </a:prstGeom>
                      <a:noFill/>
                      <a:ln>
                        <a:noFill/>
                      </a:ln>
                    </wps:spPr>
                    <wps:txbx>
                      <w:txbxContent>
                        <w:p w14:paraId="1494CEEF" w14:textId="2BD368C3"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783B36" id="_x0000_t202" coordsize="21600,21600" o:spt="202" path="m,l,21600r21600,l21600,xe">
              <v:stroke joinstyle="miter"/>
              <v:path gradientshapeok="t" o:connecttype="rect"/>
            </v:shapetype>
            <v:shape id="Text Box 1" o:spid="_x0000_s1028" type="#_x0000_t202" alt="Confidential – Oracle Internal" style="position:absolute;margin-left:0;margin-top:0;width:139.55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m+4FQIAACIEAAAOAAAAZHJzL2Uyb0RvYy54bWysU01v2zAMvQ/YfxB0X+x4ydoZcYqsRYYB&#13;&#10;QVsgHXpWZCk2IImCpMTOfv0oOU62bqdhF5kmKX6897S467UiR+F8C6ai00lOiTAc6tbsK/r9Zf3h&#13;&#10;lhIfmKmZAiMqehKe3i3fv1t0thQFNKBq4QgWMb7sbEWbEGyZZZ43QjM/ASsMBiU4zQL+un1WO9Zh&#13;&#10;da2yIs8/ZR242jrgwnv0PgxBukz1pRQ8PEnpRSCqojhbSKdL5y6e2XLByr1jtmn5eQz2D1No1hps&#13;&#10;ein1wAIjB9f+UUq33IEHGSYcdAZStlykHXCbaf5mm23DrEi7IDjeXmDy/68sfzxu7bMjof8CPRIY&#13;&#10;AemsLz064z69dDp+cVKCcYTwdIFN9IHweOnmpihu55RwjH2czWezhGt2vW2dD18FaBKNijqkJaHF&#13;&#10;jhsfsCOmjimxmYF1q1SiRpnfHJgYPdl1xGiFfteTtq5oMY6/g/qEWzkYCPeWr1tsvWE+PDOHDOMi&#13;&#10;qNrwhIdU0FUUzhYlDbgff/PHfAQeo5R0qJiKGpQ0JeqbQUKK+SzPo8LSHxpuNHbJmH7O5zFuDvoe&#13;&#10;UIxTfBeWJzMmBzWa0oF+RVGvYjcMMcOxZ0V3o3kfBv3io+BitUpJKCbLwsZsLY+lI2YR0Jf+lTl7&#13;&#10;Rj0gX48waoqVb8AfcuNNb1eHgBQkZiK+A5pn2FGIibDzo4lK//U/ZV2f9vInAAAA//8DAFBLAwQU&#13;&#10;AAYACAAAACEA+TS1Sd0AAAAJAQAADwAAAGRycy9kb3ducmV2LnhtbEyPwU7DMBBE70j8g7VI3KjT&#13;&#10;qARI41QVhYorAQmOTryNo8brELtt+Hu2XOAy0mo0s/OK1eR6ccQxdJ4UzGcJCKTGm45aBe9vzzf3&#13;&#10;IELUZHTvCRV8Y4BVeXlR6Nz4E73isYqt4BIKuVZgYxxyKUNj0ekw8wMSezs/Oh35HFtpRn3ictfL&#13;&#10;NEky6XRH/MHqAR8tNvvq4BRkm+3aDh/Z59cuDS+h9vtY+Selrq+mzZJlvQQRcYp/CTgz8H4oeVjt&#13;&#10;D2SC6BUwTfxV9tK7hzmIWsHtYgGyLOR/gvIHAAD//wMAUEsBAi0AFAAGAAgAAAAhALaDOJL+AAAA&#13;&#10;4QEAABMAAAAAAAAAAAAAAAAAAAAAAFtDb250ZW50X1R5cGVzXS54bWxQSwECLQAUAAYACAAAACEA&#13;&#10;OP0h/9YAAACUAQAACwAAAAAAAAAAAAAAAAAvAQAAX3JlbHMvLnJlbHNQSwECLQAUAAYACAAAACEA&#13;&#10;NwJvuBUCAAAiBAAADgAAAAAAAAAAAAAAAAAuAgAAZHJzL2Uyb0RvYy54bWxQSwECLQAUAAYACAAA&#13;&#10;ACEA+TS1Sd0AAAAJAQAADwAAAAAAAAAAAAAAAABvBAAAZHJzL2Rvd25yZXYueG1sUEsFBgAAAAAE&#13;&#10;AAQA8wAAAHkFAAAAAA==&#13;&#10;" filled="f" stroked="f">
              <v:fill o:detectmouseclick="t"/>
              <v:textbox style="mso-fit-shape-to-text:t" inset="20pt,0,0,15pt">
                <w:txbxContent>
                  <w:p w14:paraId="1494CEEF" w14:textId="2BD368C3"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F0B0" w14:textId="77777777" w:rsidR="00677FEF" w:rsidRDefault="00677FEF" w:rsidP="00A43AE1">
      <w:r>
        <w:separator/>
      </w:r>
    </w:p>
  </w:footnote>
  <w:footnote w:type="continuationSeparator" w:id="0">
    <w:p w14:paraId="324C1180" w14:textId="77777777" w:rsidR="00677FEF" w:rsidRDefault="00677FEF" w:rsidP="00A43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E1"/>
    <w:rsid w:val="000A7C03"/>
    <w:rsid w:val="00677FEF"/>
    <w:rsid w:val="00843003"/>
    <w:rsid w:val="00962882"/>
    <w:rsid w:val="00A43AE1"/>
    <w:rsid w:val="00AF3A7C"/>
    <w:rsid w:val="00DC0F44"/>
    <w:rsid w:val="00F679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116E921"/>
  <w15:chartTrackingRefBased/>
  <w15:docId w15:val="{284D85D4-B080-154D-B9FE-FC5DBEDD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A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E1"/>
    <w:rPr>
      <w:rFonts w:eastAsiaTheme="majorEastAsia" w:cstheme="majorBidi"/>
      <w:color w:val="272727" w:themeColor="text1" w:themeTint="D8"/>
    </w:rPr>
  </w:style>
  <w:style w:type="paragraph" w:styleId="Title">
    <w:name w:val="Title"/>
    <w:basedOn w:val="Normal"/>
    <w:next w:val="Normal"/>
    <w:link w:val="TitleChar"/>
    <w:uiPriority w:val="10"/>
    <w:qFormat/>
    <w:rsid w:val="00A43A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3AE1"/>
    <w:rPr>
      <w:i/>
      <w:iCs/>
      <w:color w:val="404040" w:themeColor="text1" w:themeTint="BF"/>
    </w:rPr>
  </w:style>
  <w:style w:type="paragraph" w:styleId="ListParagraph">
    <w:name w:val="List Paragraph"/>
    <w:basedOn w:val="Normal"/>
    <w:uiPriority w:val="34"/>
    <w:qFormat/>
    <w:rsid w:val="00A43AE1"/>
    <w:pPr>
      <w:ind w:left="720"/>
      <w:contextualSpacing/>
    </w:pPr>
  </w:style>
  <w:style w:type="character" w:styleId="IntenseEmphasis">
    <w:name w:val="Intense Emphasis"/>
    <w:basedOn w:val="DefaultParagraphFont"/>
    <w:uiPriority w:val="21"/>
    <w:qFormat/>
    <w:rsid w:val="00A43AE1"/>
    <w:rPr>
      <w:i/>
      <w:iCs/>
      <w:color w:val="0F4761" w:themeColor="accent1" w:themeShade="BF"/>
    </w:rPr>
  </w:style>
  <w:style w:type="paragraph" w:styleId="IntenseQuote">
    <w:name w:val="Intense Quote"/>
    <w:basedOn w:val="Normal"/>
    <w:next w:val="Normal"/>
    <w:link w:val="IntenseQuoteChar"/>
    <w:uiPriority w:val="30"/>
    <w:qFormat/>
    <w:rsid w:val="00A4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AE1"/>
    <w:rPr>
      <w:i/>
      <w:iCs/>
      <w:color w:val="0F4761" w:themeColor="accent1" w:themeShade="BF"/>
    </w:rPr>
  </w:style>
  <w:style w:type="character" w:styleId="IntenseReference">
    <w:name w:val="Intense Reference"/>
    <w:basedOn w:val="DefaultParagraphFont"/>
    <w:uiPriority w:val="32"/>
    <w:qFormat/>
    <w:rsid w:val="00A43AE1"/>
    <w:rPr>
      <w:b/>
      <w:bCs/>
      <w:smallCaps/>
      <w:color w:val="0F4761" w:themeColor="accent1" w:themeShade="BF"/>
      <w:spacing w:val="5"/>
    </w:rPr>
  </w:style>
  <w:style w:type="paragraph" w:styleId="NormalWeb">
    <w:name w:val="Normal (Web)"/>
    <w:basedOn w:val="Normal"/>
    <w:uiPriority w:val="99"/>
    <w:semiHidden/>
    <w:unhideWhenUsed/>
    <w:rsid w:val="00A43AE1"/>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43AE1"/>
    <w:pPr>
      <w:tabs>
        <w:tab w:val="center" w:pos="4513"/>
        <w:tab w:val="right" w:pos="9026"/>
      </w:tabs>
    </w:pPr>
  </w:style>
  <w:style w:type="character" w:customStyle="1" w:styleId="FooterChar">
    <w:name w:val="Footer Char"/>
    <w:basedOn w:val="DefaultParagraphFont"/>
    <w:link w:val="Footer"/>
    <w:uiPriority w:val="99"/>
    <w:rsid w:val="00A4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Gueury</dc:creator>
  <cp:keywords/>
  <dc:description/>
  <cp:lastModifiedBy>Marc Gueury</cp:lastModifiedBy>
  <cp:revision>2</cp:revision>
  <dcterms:created xsi:type="dcterms:W3CDTF">2025-09-05T15:12:00Z</dcterms:created>
  <dcterms:modified xsi:type="dcterms:W3CDTF">2025-09-05T15:12:00Z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2188dfa8,65d74eeb,37b1f912</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2025-09-05T14:55:02Z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dac1b781-6141-42f0-a2c6-0a0262542bfd</vt:lpwstr>
  </property>
  <property fmtid="{D5CDD505-2E9C-101B-9397-08002B2CF9AE}" pid="11" name="MSIP_Label_a4de43ec-192a-49eb-8e54-baeb8c71bbbe_ContentBits">
    <vt:lpwstr>2</vt:lpwstr>
  </property>
  <property fmtid="{D5CDD505-2E9C-101B-9397-08002B2CF9AE}" pid="12" name="MSIP_Label_a4de43ec-192a-49eb-8e54-baeb8c71bbbe_Tag">
    <vt:lpwstr>50, 3, 0, 1</vt:lpwstr>
  </property>
</Properties>
</file>