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5F6F514" w14:textId="77777777">
      <w:pPr>
        <w:jc w:val="both"/>
      </w:pPr>
    </w:p>
    <w:p w14:paraId="3120BAF6" w14:textId="00BA9758">
      <w:pPr>
        <w:spacing w:line="240" w:lineRule="auto"/>
        <w:jc w:val="center"/>
        <w:rPr>
          <w:rFonts w:ascii="Poppins" w:hAnsi="Poppins" w:cs="Poppins"/>
          <w:b/>
          <w:bCs/>
          <w:color w:val="ff7233"/>
          <w:sz w:val="32"/>
          <w:szCs w:val="32"/>
        </w:rPr>
      </w:pPr>
      <w:r>
        <w:rPr>
          <w:rFonts w:ascii="Poppins" w:hAnsi="Poppins" w:cs="Poppins"/>
          <w:b/>
          <w:bCs/>
          <w:color w:val="ff7233"/>
          <w:sz w:val="32"/>
          <w:szCs w:val="32"/>
        </w:rPr>
        <w:t xml:space="preserve">Trust, Transparency, and AI</w:t>
      </w:r>
      <w:r>
        <w:rPr>
          <w:rFonts w:ascii="Poppins" w:hAnsi="Poppins" w:cs="Poppins"/>
          <w:b/>
          <w:bCs/>
          <w:color w:val="ff7233"/>
          <w:sz w:val="32"/>
          <w:szCs w:val="32"/>
        </w:rPr>
        <w:t xml:space="preserve"/>
      </w:r>
      <w:r>
        <w:rPr>
          <w:rFonts w:ascii="Poppins" w:hAnsi="Poppins" w:cs="Poppins"/>
          <w:b/>
          <w:bCs/>
          <w:color w:val="ff7233"/>
          <w:sz w:val="32"/>
          <w:szCs w:val="32"/>
        </w:rPr>
        <w:t xml:space="preserve"/>
      </w:r>
    </w:p>
    <w:p w14:paraId="5EBFAE85" w14:textId="04687629">
      <w:pPr>
        <w:spacing w:line="240" w:lineRule="auto"/>
        <w:jc w:val="center"/>
        <w:rPr>
          <w:rFonts w:ascii="Poppins" w:hAnsi="Poppins" w:cs="Poppins"/>
          <w:b/>
          <w:bCs/>
          <w:color w:val="ff7233"/>
          <w:sz w:val="32"/>
          <w:szCs w:val="32"/>
        </w:rPr>
      </w:pPr>
      <w:r>
        <w:rPr>
          <w:rFonts w:ascii="Poppins" w:hAnsi="Poppins" w:cs="Poppins"/>
          <w:b/>
          <w:bCs/>
          <w:color w:val="ff7233"/>
          <w:sz w:val="32"/>
          <w:szCs w:val="32"/>
        </w:rPr>
        <w:t xml:space="preserve">Session takeaways</w:t>
      </w:r>
    </w:p>
    <w:p w14:paraId="5B8DD309" w14:textId="77777777">
      <w:pPr>
        <w:jc w:val="center"/>
        <w:rPr>
          <w:rFonts w:ascii="Poppins" w:hAnsi="Poppins" w:cs="Poppins"/>
          <w:sz w:val="32"/>
          <w:szCs w:val="32"/>
        </w:rPr>
        <w:spacing w:line="120" w:lineRule="exact"/>
      </w:pPr>
    </w:p>
    <w:p w14:paraId="2D273A09" w14:textId="77777777">
      <w:pPr>
        <w:pStyle w:val="ListParagraph"/>
        <w:numPr>
          <w:ilvl w:val="0"/>
          <w:numId w:val="1"/>
        </w:numPr>
        <w:spacing w:line="276" w:lineRule="auto"/>
        <w:rPr>
          <w:rFonts w:ascii="Poppins" w:hAnsi="Poppins" w:cs="Poppins"/>
          <w:b/>
          <w:bCs/>
          <w:color w:val="2e4f66"/>
        </w:rPr>
        <w:keepNext/>
      </w:pPr>
      <w:r>
        <w:rPr>
          <w:rFonts w:ascii="Poppins" w:hAnsi="Poppins" w:cs="Poppins"/>
          <w:b/>
          <w:bCs/>
          <w:color w:val="2e4f66"/>
        </w:rPr>
        <w:t xml:space="preserve">Keep people accountable for decisions</w:t>
      </w:r>
    </w:p>
    <w:p w14:paraId="493E1B5C" w14:textId="186403FE">
      <w:pPr>
        <w:pStyle w:val="ListParagraph"/>
        <w:numPr>
          <w:ilvl w:val="1"/>
          <w:numId w:val="1"/>
        </w:numPr>
        <w:spacing w:line="276" w:lineRule="auto"/>
        <w:rPr>
          <w:rFonts w:ascii="Poppins" w:hAnsi="Poppins" w:cs="Poppins"/>
          <w:color w:val="2e4f66"/>
        </w:rPr>
      </w:pPr>
      <w:r>
        <w:rPr>
          <w:rFonts w:ascii="Poppins" w:hAnsi="Poppins" w:cs="Poppins"/>
          <w:color w:val="2e4f66"/>
        </w:rPr>
        <w:t xml:space="preserve">AI can sort, summarize, and suggest. People decide. Use clerical drafts only with approved inputs and accuracy checks.</w:t>
      </w:r>
    </w:p>
    <w:p w14:paraId="493E1B5C" w14:textId="186403FE">
      <w:pPr>
        <w:pStyle w:val="ListParagraph"/>
        <w:numPr>
          <w:ilvl w:val="1"/>
          <w:numId w:val="1"/>
        </w:numPr>
        <w:spacing w:line="276" w:lineRule="auto"/>
        <w:rPr>
          <w:rFonts w:ascii="Poppins" w:hAnsi="Poppins" w:cs="Poppins"/>
          <w:color w:val="2e4f66"/>
        </w:rPr>
      </w:pPr>
      <w:r>
        <w:rPr>
          <w:rFonts w:ascii="Poppins" w:hAnsi="Poppins" w:cs="Poppins"/>
          <w:color w:val="2e4f66"/>
        </w:rPr>
        <w:t xml:space="preserve">Rubric pre-scores, tags, and consequential summaries need source verification. Authorized people own eligibility, authenticity, selection, and award decisions.</w:t>
      </w:r>
    </w:p>
    <w:p w14:paraId="493E1B5C" w14:textId="186403FE">
      <w:pPr>
        <w:pStyle w:val="ListParagraph"/>
        <w:numPr>
          <w:ilvl w:val="1"/>
          <w:numId w:val="1"/>
        </w:numPr>
        <w:spacing w:line="276" w:lineRule="auto"/>
        <w:rPr>
          <w:rFonts w:ascii="Poppins" w:hAnsi="Poppins" w:cs="Poppins"/>
          <w:color w:val="2e4f66"/>
        </w:rPr>
      </w:pPr>
      <w:r>
        <w:rPr>
          <w:rFonts w:ascii="Poppins" w:hAnsi="Poppins" w:cs="Poppins"/>
          <w:color w:val="2e4f66"/>
        </w:rPr>
        <w:t xml:space="preserve">Prepare inputs, verify evidence, decide, and audit. Name who can correct or stop the process. These are workshop tools, not official NSPA policy.</w:t>
      </w:r>
    </w:p>
    <w:p w14:paraId="5EEC018A" w14:textId="77777777">
      <w:pPr>
        <w:rPr>
          <w:rFonts w:ascii="Poppins" w:hAnsi="Poppins" w:cs="Poppins"/>
          <w:color w:val="2e4f66"/>
        </w:rPr>
        <w:spacing w:line="120" w:lineRule="exact" w:after="0" w:before="0"/>
      </w:pPr>
    </w:p>
    <w:p w14:paraId="2D273A09" w14:textId="77777777">
      <w:pPr>
        <w:pStyle w:val="ListParagraph"/>
        <w:numPr>
          <w:ilvl w:val="0"/>
          <w:numId w:val="1"/>
        </w:numPr>
        <w:spacing w:line="276" w:lineRule="auto"/>
        <w:rPr>
          <w:rFonts w:ascii="Poppins" w:hAnsi="Poppins" w:cs="Poppins"/>
          <w:b/>
          <w:bCs/>
          <w:color w:val="2e4f66"/>
        </w:rPr>
        <w:keepNext/>
      </w:pPr>
      <w:r>
        <w:rPr>
          <w:rFonts w:ascii="Poppins" w:hAnsi="Poppins" w:cs="Poppins"/>
          <w:b/>
          <w:bCs/>
          <w:color w:val="2e4f66"/>
        </w:rPr>
        <w:t xml:space="preserve">Write a prompt a reviewer can check</w:t>
      </w:r>
    </w:p>
    <w:p w14:paraId="493E1B5C" w14:textId="186403FE">
      <w:pPr>
        <w:pStyle w:val="ListParagraph"/>
        <w:numPr>
          <w:ilvl w:val="1"/>
          <w:numId w:val="1"/>
        </w:numPr>
        <w:spacing w:line="276" w:lineRule="auto"/>
        <w:rPr>
          <w:rFonts w:ascii="Poppins" w:hAnsi="Poppins" w:cs="Poppins"/>
          <w:color w:val="2e4f66"/>
        </w:rPr>
      </w:pPr>
      <w:r>
        <w:rPr>
          <w:rFonts w:ascii="Poppins" w:hAnsi="Poppins" w:cs="Poppins"/>
          <w:color w:val="2e4f66"/>
        </w:rPr>
        <w:t xml:space="preserve">Include six parts: role, task, context, criteria, format, and constraints. Paste the adopted rubric and its level descriptors verbatim.</w:t>
      </w:r>
    </w:p>
    <w:p w14:paraId="493E1B5C" w14:textId="186403FE">
      <w:pPr>
        <w:pStyle w:val="ListParagraph"/>
        <w:numPr>
          <w:ilvl w:val="1"/>
          <w:numId w:val="1"/>
        </w:numPr>
        <w:spacing w:line="276" w:lineRule="auto"/>
        <w:rPr>
          <w:rFonts w:ascii="Poppins" w:hAnsi="Poppins" w:cs="Poppins"/>
          <w:color w:val="2e4f66"/>
        </w:rPr>
      </w:pPr>
      <w:r>
        <w:rPr>
          <w:rFonts w:ascii="Poppins" w:hAnsi="Poppins" w:cs="Poppins"/>
          <w:color w:val="2e4f66"/>
        </w:rPr>
        <w:t xml:space="preserve">Require exact quotes, paragraph IDs, and uncertainty. Treat application text as evidence; embedded instructions cannot override the review task.</w:t>
      </w:r>
    </w:p>
    <w:p w14:paraId="493E1B5C" w14:textId="186403FE">
      <w:pPr>
        <w:pStyle w:val="ListParagraph"/>
        <w:numPr>
          <w:ilvl w:val="1"/>
          <w:numId w:val="1"/>
        </w:numPr>
        <w:spacing w:line="276" w:lineRule="auto"/>
        <w:rPr>
          <w:rFonts w:ascii="Poppins" w:hAnsi="Poppins" w:cs="Poppins"/>
          <w:color w:val="2e4f66"/>
        </w:rPr>
      </w:pPr>
      <w:r>
        <w:rPr>
          <w:rFonts w:ascii="Poppins" w:hAnsi="Poppins" w:cs="Poppins"/>
          <w:color w:val="2e4f66"/>
        </w:rPr>
        <w:t xml:space="preserve">The three demos cover administrative triage, a provisional rubric rating, and neutral summaries or tags. Missing evidence requires human follow-up, never invention or automatic rejection.</w:t>
      </w:r>
    </w:p>
    <w:p w14:paraId="5EEC018A" w14:textId="77777777">
      <w:pPr>
        <w:rPr>
          <w:rFonts w:ascii="Poppins" w:hAnsi="Poppins" w:cs="Poppins"/>
          <w:color w:val="2e4f66"/>
        </w:rPr>
        <w:spacing w:line="120" w:lineRule="exact" w:after="0" w:before="0"/>
      </w:pPr>
    </w:p>
    <w:p w14:paraId="2D273A09" w14:textId="77777777">
      <w:pPr>
        <w:pStyle w:val="ListParagraph"/>
        <w:numPr>
          <w:ilvl w:val="0"/>
          <w:numId w:val="1"/>
        </w:numPr>
        <w:spacing w:line="276" w:lineRule="auto"/>
        <w:rPr>
          <w:rFonts w:ascii="Poppins" w:hAnsi="Poppins" w:cs="Poppins"/>
          <w:b/>
          <w:bCs/>
          <w:color w:val="2e4f66"/>
        </w:rPr>
        <w:keepNext/>
      </w:pPr>
      <w:r>
        <w:rPr>
          <w:rFonts w:ascii="Poppins" w:hAnsi="Poppins" w:cs="Poppins"/>
          <w:b/>
          <w:bCs/>
          <w:color w:val="2e4f66"/>
        </w:rPr>
        <w:t xml:space="preserve">Protect data and test the workflow</w:t>
      </w:r>
    </w:p>
    <w:p w14:paraId="493E1B5C" w14:textId="186403FE">
      <w:pPr>
        <w:pStyle w:val="ListParagraph"/>
        <w:numPr>
          <w:ilvl w:val="1"/>
          <w:numId w:val="1"/>
        </w:numPr>
        <w:spacing w:line="276" w:lineRule="auto"/>
        <w:rPr>
          <w:rFonts w:ascii="Poppins" w:hAnsi="Poppins" w:cs="Poppins"/>
          <w:color w:val="2e4f66"/>
        </w:rPr>
      </w:pPr>
      <w:r>
        <w:rPr>
          <w:rFonts w:ascii="Poppins" w:hAnsi="Poppins" w:cs="Poppins"/>
          <w:color w:val="2e4f66"/>
        </w:rPr>
        <w:t xml:space="preserve">Practice with fictional records. Confirm the actual service, settings, training use, retention, access, deletion, and local approval before real data use.</w:t>
      </w:r>
    </w:p>
    <w:p w14:paraId="493E1B5C" w14:textId="186403FE">
      <w:pPr>
        <w:pStyle w:val="ListParagraph"/>
        <w:numPr>
          <w:ilvl w:val="1"/>
          <w:numId w:val="1"/>
        </w:numPr>
        <w:spacing w:line="276" w:lineRule="auto"/>
        <w:rPr>
          <w:rFonts w:ascii="Poppins" w:hAnsi="Poppins" w:cs="Poppins"/>
          <w:color w:val="2e4f66"/>
        </w:rPr>
      </w:pPr>
      <w:r>
        <w:rPr>
          <w:rFonts w:ascii="Poppins" w:hAnsi="Poppins" w:cs="Poppins"/>
          <w:color w:val="2e4f66"/>
        </w:rPr>
        <w:t xml:space="preserve">Remove unneeded details. Deleting a name alone may leave identifying information. A paid or education account still requires review of terms and settings.</w:t>
      </w:r>
    </w:p>
    <w:p w14:paraId="493E1B5C" w14:textId="186403FE">
      <w:pPr>
        <w:pStyle w:val="ListParagraph"/>
        <w:numPr>
          <w:ilvl w:val="1"/>
          <w:numId w:val="1"/>
        </w:numPr>
        <w:spacing w:line="276" w:lineRule="auto"/>
        <w:rPr>
          <w:rFonts w:ascii="Poppins" w:hAnsi="Poppins" w:cs="Poppins"/>
          <w:color w:val="2e4f66"/>
        </w:rPr>
      </w:pPr>
      <w:r>
        <w:rPr>
          <w:rFonts w:ascii="Poppins" w:hAnsi="Poppins" w:cs="Poppins"/>
          <w:color w:val="2e4f66"/>
        </w:rPr>
        <w:t xml:space="preserve">Repeat fictional cases, change only a name in a controlled test, and compare with independent human judgments. Ten cases may reveal a problem; they cannot certify fairness.</w:t>
      </w:r>
    </w:p>
    <w:p w14:paraId="5EEC018A" w14:textId="77777777">
      <w:pPr>
        <w:rPr>
          <w:rFonts w:ascii="Poppins" w:hAnsi="Poppins" w:cs="Poppins"/>
          <w:color w:val="2e4f66"/>
        </w:rPr>
        <w:spacing w:line="120" w:lineRule="exact" w:after="0" w:before="0"/>
      </w:pPr>
    </w:p>
    <w:p w14:paraId="65F6F514" w14:textId="77777777">
      <w:pPr>
        <w:jc w:val="both"/>
        <w:pageBreakBefore/>
      </w:pPr>
    </w:p>
    <w:p w14:paraId="3120BAF6" w14:textId="00BA9758">
      <w:pPr>
        <w:spacing w:line="240" w:lineRule="auto"/>
        <w:jc w:val="center"/>
        <w:rPr>
          <w:rFonts w:ascii="Poppins" w:hAnsi="Poppins" w:cs="Poppins"/>
          <w:b/>
          <w:bCs/>
          <w:color w:val="ff7233"/>
          <w:sz w:val="32"/>
          <w:szCs w:val="32"/>
        </w:rPr>
      </w:pPr>
      <w:r>
        <w:rPr>
          <w:rFonts w:ascii="Poppins" w:hAnsi="Poppins" w:cs="Poppins"/>
          <w:b/>
          <w:bCs/>
          <w:color w:val="ff7233"/>
          <w:sz w:val="32"/>
          <w:szCs w:val="32"/>
        </w:rPr>
        <w:t xml:space="preserve">Trust, Transparency, and AI</w:t>
      </w:r>
      <w:r>
        <w:rPr>
          <w:rFonts w:ascii="Poppins" w:hAnsi="Poppins" w:cs="Poppins"/>
          <w:b/>
          <w:bCs/>
          <w:color w:val="ff7233"/>
          <w:sz w:val="32"/>
          <w:szCs w:val="32"/>
        </w:rPr>
        <w:t xml:space="preserve"/>
      </w:r>
      <w:r>
        <w:rPr>
          <w:rFonts w:ascii="Poppins" w:hAnsi="Poppins" w:cs="Poppins"/>
          <w:b/>
          <w:bCs/>
          <w:color w:val="ff7233"/>
          <w:sz w:val="32"/>
          <w:szCs w:val="32"/>
        </w:rPr>
        <w:t xml:space="preserve"/>
      </w:r>
    </w:p>
    <w:p w14:paraId="5EBFAE85" w14:textId="04687629">
      <w:pPr>
        <w:spacing w:line="240" w:lineRule="auto"/>
        <w:jc w:val="center"/>
        <w:rPr>
          <w:rFonts w:ascii="Poppins" w:hAnsi="Poppins" w:cs="Poppins"/>
          <w:b/>
          <w:bCs/>
          <w:color w:val="ff7233"/>
          <w:sz w:val="32"/>
          <w:szCs w:val="32"/>
        </w:rPr>
      </w:pPr>
      <w:r>
        <w:rPr>
          <w:rFonts w:ascii="Poppins" w:hAnsi="Poppins" w:cs="Poppins"/>
          <w:b/>
          <w:bCs/>
          <w:color w:val="ff7233"/>
          <w:sz w:val="32"/>
          <w:szCs w:val="32"/>
        </w:rPr>
        <w:t xml:space="preserve">Session takeaways continued</w:t>
      </w:r>
    </w:p>
    <w:p w14:paraId="5B8DD309" w14:textId="77777777">
      <w:pPr>
        <w:jc w:val="center"/>
        <w:rPr>
          <w:rFonts w:ascii="Poppins" w:hAnsi="Poppins" w:cs="Poppins"/>
          <w:sz w:val="32"/>
          <w:szCs w:val="32"/>
        </w:rPr>
        <w:spacing w:line="120" w:lineRule="exact"/>
      </w:pPr>
    </w:p>
    <w:p w14:paraId="2D273A09" w14:textId="77777777">
      <w:pPr>
        <w:pStyle w:val="ListParagraph"/>
        <w:numPr>
          <w:ilvl w:val="0"/>
          <w:numId w:val="1"/>
        </w:numPr>
        <w:spacing w:line="276" w:lineRule="auto"/>
        <w:rPr>
          <w:rFonts w:ascii="Poppins" w:hAnsi="Poppins" w:cs="Poppins"/>
          <w:b/>
          <w:bCs/>
          <w:color w:val="2e4f66"/>
        </w:rPr>
        <w:keepNext/>
      </w:pPr>
      <w:r>
        <w:rPr>
          <w:rFonts w:ascii="Poppins" w:hAnsi="Poppins" w:cs="Poppins"/>
          <w:b/>
          <w:bCs/>
          <w:color w:val="2e4f66"/>
        </w:rPr>
        <w:t xml:space="preserve">Treat applicant AI use fairly</w:t>
      </w:r>
    </w:p>
    <w:p w14:paraId="493E1B5C" w14:textId="186403FE">
      <w:pPr>
        <w:pStyle w:val="ListParagraph"/>
        <w:numPr>
          <w:ilvl w:val="1"/>
          <w:numId w:val="1"/>
        </w:numPr>
        <w:spacing w:line="276" w:lineRule="auto"/>
        <w:rPr>
          <w:rFonts w:ascii="Poppins" w:hAnsi="Poppins" w:cs="Poppins"/>
          <w:color w:val="2e4f66"/>
        </w:rPr>
      </w:pPr>
      <w:r>
        <w:rPr>
          <w:rFonts w:ascii="Poppins" w:hAnsi="Poppins" w:cs="Poppins"/>
          <w:color w:val="2e4f66"/>
        </w:rPr>
        <w:t xml:space="preserve">Distinguish mechanical help, brainstorming, draft development, and substitution. Explain permitted uses, accessibility and translation support, and any required disclosure.</w:t>
      </w:r>
    </w:p>
    <w:p w14:paraId="493E1B5C" w14:textId="186403FE">
      <w:pPr>
        <w:pStyle w:val="ListParagraph"/>
        <w:numPr>
          <w:ilvl w:val="1"/>
          <w:numId w:val="1"/>
        </w:numPr>
        <w:spacing w:line="276" w:lineRule="auto"/>
        <w:rPr>
          <w:rFonts w:ascii="Poppins" w:hAnsi="Poppins" w:cs="Poppins"/>
          <w:color w:val="2e4f66"/>
        </w:rPr>
      </w:pPr>
      <w:r>
        <w:rPr>
          <w:rFonts w:ascii="Poppins" w:hAnsi="Poppins" w:cs="Poppins"/>
          <w:color w:val="2e4f66"/>
        </w:rPr>
        <w:t xml:space="preserve">Polished writing and detector results alone cannot establish misconduct. Historical research findings are specific to the samples and tools studied.</w:t>
      </w:r>
    </w:p>
    <w:p w14:paraId="493E1B5C" w14:textId="186403FE">
      <w:pPr>
        <w:pStyle w:val="ListParagraph"/>
        <w:numPr>
          <w:ilvl w:val="1"/>
          <w:numId w:val="1"/>
        </w:numPr>
        <w:spacing w:line="276" w:lineRule="auto"/>
        <w:rPr>
          <w:rFonts w:ascii="Poppins" w:hAnsi="Poppins" w:cs="Poppins"/>
          <w:color w:val="2e4f66"/>
        </w:rPr>
      </w:pPr>
      <w:r>
        <w:rPr>
          <w:rFonts w:ascii="Poppins" w:hAnsi="Poppins" w:cs="Poppins"/>
          <w:color w:val="2e4f66"/>
        </w:rPr>
        <w:t xml:space="preserve">Use the published rule and actual evidence. Apply follow-up consistently, offer an accessible response route, and keep correction and appeal decisions with people.</w:t>
      </w:r>
    </w:p>
    <w:p w14:paraId="5EEC018A" w14:textId="77777777">
      <w:pPr>
        <w:rPr>
          <w:rFonts w:ascii="Poppins" w:hAnsi="Poppins" w:cs="Poppins"/>
          <w:color w:val="2e4f66"/>
        </w:rPr>
        <w:spacing w:line="120" w:lineRule="exact" w:after="0" w:before="0"/>
      </w:pPr>
    </w:p>
    <w:p w14:paraId="2D273A09" w14:textId="77777777">
      <w:pPr>
        <w:pStyle w:val="ListParagraph"/>
        <w:numPr>
          <w:ilvl w:val="0"/>
          <w:numId w:val="1"/>
        </w:numPr>
        <w:spacing w:line="276" w:lineRule="auto"/>
        <w:rPr>
          <w:rFonts w:ascii="Poppins" w:hAnsi="Poppins" w:cs="Poppins"/>
          <w:b/>
          <w:bCs/>
          <w:color w:val="2e4f66"/>
        </w:rPr>
        <w:keepNext/>
      </w:pPr>
      <w:r>
        <w:rPr>
          <w:rFonts w:ascii="Poppins" w:hAnsi="Poppins" w:cs="Poppins"/>
          <w:b/>
          <w:bCs/>
          <w:color w:val="2e4f66"/>
        </w:rPr>
        <w:t xml:space="preserve">Make transparency work both ways</w:t>
      </w:r>
    </w:p>
    <w:p w14:paraId="493E1B5C" w14:textId="186403FE">
      <w:pPr>
        <w:pStyle w:val="ListParagraph"/>
        <w:numPr>
          <w:ilvl w:val="1"/>
          <w:numId w:val="1"/>
        </w:numPr>
        <w:spacing w:line="276" w:lineRule="auto"/>
        <w:rPr>
          <w:rFonts w:ascii="Poppins" w:hAnsi="Poppins" w:cs="Poppins"/>
          <w:color w:val="2e4f66"/>
        </w:rPr>
      </w:pPr>
      <w:r>
        <w:rPr>
          <w:rFonts w:ascii="Poppins" w:hAnsi="Poppins" w:cs="Poppins"/>
          <w:color w:val="2e4f66"/>
        </w:rPr>
        <w:t xml:space="preserve">Choose a policy approach: prohibit, disclose, bounded use, embrace, or an explained combination. Give examples and publish the rule before applications open.</w:t>
      </w:r>
    </w:p>
    <w:p w14:paraId="493E1B5C" w14:textId="186403FE">
      <w:pPr>
        <w:pStyle w:val="ListParagraph"/>
        <w:numPr>
          <w:ilvl w:val="1"/>
          <w:numId w:val="1"/>
        </w:numPr>
        <w:spacing w:line="276" w:lineRule="auto"/>
        <w:rPr>
          <w:rFonts w:ascii="Poppins" w:hAnsi="Poppins" w:cs="Poppins"/>
          <w:color w:val="2e4f66"/>
        </w:rPr>
      </w:pPr>
      <w:r>
        <w:rPr>
          <w:rFonts w:ascii="Poppins" w:hAnsi="Poppins" w:cs="Poppins"/>
          <w:color w:val="2e4f66"/>
        </w:rPr>
        <w:t xml:space="preserve">Explain where provider AI supports review, who verifies its work, who decides, and how applicants can request correction.</w:t>
      </w:r>
    </w:p>
    <w:p w14:paraId="493E1B5C" w14:textId="186403FE">
      <w:pPr>
        <w:pStyle w:val="ListParagraph"/>
        <w:numPr>
          <w:ilvl w:val="1"/>
          <w:numId w:val="1"/>
        </w:numPr>
        <w:spacing w:line="276" w:lineRule="auto"/>
        <w:rPr>
          <w:rFonts w:ascii="Poppins" w:hAnsi="Poppins" w:cs="Poppins"/>
          <w:color w:val="2e4f66"/>
        </w:rPr>
      </w:pPr>
      <w:r>
        <w:rPr>
          <w:rFonts w:ascii="Poppins" w:hAnsi="Poppins" w:cs="Poppins"/>
          <w:color w:val="2e4f66"/>
        </w:rPr>
        <w:t xml:space="preserve">Publish only promises supported by the actual service and process. Keep disclosure brief; do not require private chat histories or unnecessary personal information.</w:t>
      </w:r>
    </w:p>
    <w:p w14:paraId="5EEC018A" w14:textId="77777777">
      <w:pPr>
        <w:rPr>
          <w:rFonts w:ascii="Poppins" w:hAnsi="Poppins" w:cs="Poppins"/>
          <w:color w:val="2e4f66"/>
        </w:rPr>
        <w:spacing w:line="120" w:lineRule="exact" w:after="0" w:before="0"/>
      </w:pPr>
    </w:p>
    <w:p w14:paraId="2D273A09" w14:textId="77777777">
      <w:pPr>
        <w:pStyle w:val="ListParagraph"/>
        <w:numPr>
          <w:ilvl w:val="0"/>
          <w:numId w:val="1"/>
        </w:numPr>
        <w:spacing w:line="276" w:lineRule="auto"/>
        <w:rPr>
          <w:rFonts w:ascii="Poppins" w:hAnsi="Poppins" w:cs="Poppins"/>
          <w:b/>
          <w:bCs/>
          <w:color w:val="2e4f66"/>
        </w:rPr>
        <w:keepNext/>
      </w:pPr>
      <w:r>
        <w:rPr>
          <w:rFonts w:ascii="Poppins" w:hAnsi="Poppins" w:cs="Poppins"/>
          <w:b/>
          <w:bCs/>
          <w:color w:val="2e4f66"/>
        </w:rPr>
        <w:t xml:space="preserve">Plan the next 30 / 60 / 90 days</w:t>
      </w:r>
    </w:p>
    <w:p w14:paraId="493E1B5C" w14:textId="186403FE">
      <w:pPr>
        <w:pStyle w:val="ListParagraph"/>
        <w:numPr>
          <w:ilvl w:val="1"/>
          <w:numId w:val="1"/>
        </w:numPr>
        <w:spacing w:line="276" w:lineRule="auto"/>
        <w:rPr>
          <w:rFonts w:ascii="Poppins" w:hAnsi="Poppins" w:cs="Poppins"/>
          <w:color w:val="2e4f66"/>
        </w:rPr>
      </w:pPr>
      <w:r>
        <w:rPr>
          <w:rFonts w:ascii="Poppins" w:hAnsi="Poppins" w:cs="Poppins"/>
          <w:color w:val="2e4f66"/>
        </w:rPr>
        <w:t xml:space="preserve">30 days: choose one clerical pilot and an owner. Draft applicant guidance and a provider-use statement.</w:t>
      </w:r>
    </w:p>
    <w:p w14:paraId="493E1B5C" w14:textId="186403FE">
      <w:pPr>
        <w:pStyle w:val="ListParagraph"/>
        <w:numPr>
          <w:ilvl w:val="1"/>
          <w:numId w:val="1"/>
        </w:numPr>
        <w:spacing w:line="276" w:lineRule="auto"/>
        <w:rPr>
          <w:rFonts w:ascii="Poppins" w:hAnsi="Poppins" w:cs="Poppins"/>
          <w:color w:val="2e4f66"/>
        </w:rPr>
      </w:pPr>
      <w:r>
        <w:rPr>
          <w:rFonts w:ascii="Poppins" w:hAnsi="Poppins" w:cs="Poppins"/>
          <w:color w:val="2e4f66"/>
        </w:rPr>
        <w:t xml:space="preserve">60 days: test fictional records, compare with human review, and record errors and corrections. 90 days: train reviewers, publish policy, and schedule an audit.</w:t>
      </w:r>
    </w:p>
    <w:p w14:paraId="493E1B5C" w14:textId="186403FE">
      <w:pPr>
        <w:pStyle w:val="ListParagraph"/>
        <w:numPr>
          <w:ilvl w:val="1"/>
          <w:numId w:val="1"/>
        </w:numPr>
        <w:spacing w:line="276" w:lineRule="auto"/>
        <w:rPr>
          <w:rFonts w:ascii="Poppins" w:hAnsi="Poppins" w:cs="Poppins"/>
          <w:color w:val="2e4f66"/>
        </w:rPr>
      </w:pPr>
      <w:r>
        <w:rPr>
          <w:rFonts w:ascii="Poppins" w:hAnsi="Poppins" w:cs="Poppins"/>
          <w:color w:val="2e4f66"/>
        </w:rPr>
        <w:t xml:space="preserve">Choose three checklist gaps, a review date, evidence of progress, and a pause condition. Miguel Guhlin · October 21, 2026 · mguhlin.github.io/nspa/2026/</w:t>
      </w:r>
    </w:p>
    <w:p w14:paraId="5EEC018A" w14:textId="77777777">
      <w:pPr>
        <w:rPr>
          <w:rFonts w:ascii="Poppins" w:hAnsi="Poppins" w:cs="Poppins"/>
          <w:color w:val="2e4f66"/>
        </w:rPr>
        <w:spacing w:line="120" w:lineRule="exact" w:after="0" w:before="0"/>
      </w:pPr>
    </w:p>
    <w:sectPr>
      <w:headerReference w:type="default" r:id="rId9"/>
      <w:pgSz w:h="15840" w:w="12240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086AF7D" w14:textId="77777777">
      <w:pPr>
        <w:spacing w:after="0" w:line="240" w:lineRule="auto"/>
      </w:pPr>
      <w:r>
        <w:separator/>
      </w:r>
    </w:p>
  </w:endnote>
  <w:endnote w:type="continuationSeparator" w:id="0">
    <w:p w14:paraId="3FBF8F8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oppins">
    <w:panose1 w:val="05040102010807070707"/>
  </w:font>
  <w:font w:name="Noto Sans Symbols">
    <w:panose1 w:val="020B0502040504020204"/>
  </w:font>
  <w:font w:name="Courier New">
    <w:panose1 w:val="020704090202050204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6FBBEFF" w14:textId="77777777">
      <w:pPr>
        <w:spacing w:after="0" w:line="240" w:lineRule="auto"/>
      </w:pPr>
      <w:r>
        <w:separator/>
      </w:r>
    </w:p>
  </w:footnote>
  <w:footnote w:type="continuationSeparator" w:id="0">
    <w:p w14:paraId="759AD2D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2DD0E99" w14:textId="3C280A4E">
    <w:pPr>
      <w:pStyle w:val="Header"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-457200</wp:posOffset>
              </wp:positionV>
              <wp:extent cx="7772400" cy="10061962"/>
              <wp:effectExtent l="0" t="0" r="0" b="0"/>
              <wp:wrapNone/>
              <wp:docPr id="1" name="Picture 2" descr="A white paper with blue text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96066805" name="Picture 2" descr="A white paper with blue text&#10;&#10;AI-generated content may be incorrect."/>
                      <pic:cNvPicPr/>
                      <pic:nv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1006196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58240;o:allowoverlap:true;o:allowincell:true;mso-position-horizontal-relative:margin;mso-position-horizontal:center;mso-position-vertical-relative:text;margin-top:-36.00pt;mso-position-vertical:absolute;width:612.00pt;height:792.28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</w:p>
  <w:p w14:paraId="6BDCC648" w14:textId="77777777">
    <w:pPr>
      <w:pStyle w:val="Header"/>
    </w:pPr>
  </w:p>
  <w:p w14:paraId="6323B476" w14:textId="77777777">
    <w:pPr>
      <w:pStyle w:val="Header"/>
    </w:pPr>
  </w:p>
  <w:p w14:paraId="7DC2FD42" w14:textId="77777777">
    <w:pPr>
      <w:pStyle w:val="Header"/>
    </w:pPr>
  </w:p>
  <w:p w14:paraId="4B9A4C6D" w14:textId="77777777">
    <w:pPr>
      <w:pStyle w:val="Header"/>
    </w:pPr>
  </w:p>
  <w:p w14:paraId="0716A6E4" w14:textId="4BB077F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multilevel"/>
    <w:nsid w:val="27AF3098"/>
    <w:lvl w:ilvl="0">
      <w:lvlJc w:val="left"/>
      <w:lvlText w:val="%1."/>
      <w:numFmt w:val="decimal"/>
      <w:pPr>
        <w:ind w:hanging="360" w:left="360"/>
      </w:pPr>
      <w:start w:val="1"/>
    </w:lvl>
    <w:lvl w:ilvl="1">
      <w:lvlJc w:val="left"/>
      <w:lvlText w:val="o"/>
      <w:numFmt w:val="bullet"/>
      <w:pPr>
        <w:ind w:hanging="360" w:left="1080"/>
      </w:pPr>
      <w:rPr>
        <w:rFonts w:ascii="Courier New" w:hAnsi="Courier New" w:eastAsia="Courier New" w:cs="Courier New"/>
      </w:rPr>
      <w:start w:val="1"/>
    </w:lvl>
    <w:lvl w:ilvl="2">
      <w:lvlJc w:val="left"/>
      <w:lvlText w:val="▪"/>
      <w:numFmt w:val="bullet"/>
      <w:pPr>
        <w:ind w:hanging="360" w:left="1800"/>
      </w:pPr>
      <w:rPr>
        <w:rFonts w:ascii="Noto Sans Symbols" w:hAnsi="Noto Sans Symbols" w:eastAsia="Noto Sans Symbols" w:cs="Noto Sans Symbols"/>
      </w:rPr>
      <w:start w:val="1"/>
    </w:lvl>
    <w:lvl w:ilvl="3">
      <w:lvlJc w:val="left"/>
      <w:lvlText w:val="●"/>
      <w:numFmt w:val="bullet"/>
      <w:pPr>
        <w:ind w:hanging="360" w:left="2520"/>
      </w:pPr>
      <w:rPr>
        <w:rFonts w:ascii="Noto Sans Symbols" w:hAnsi="Noto Sans Symbols" w:eastAsia="Noto Sans Symbols" w:cs="Noto Sans Symbols"/>
      </w:rPr>
      <w:start w:val="1"/>
    </w:lvl>
    <w:lvl w:ilvl="4">
      <w:lvlJc w:val="left"/>
      <w:lvlText w:val="o"/>
      <w:numFmt w:val="bullet"/>
      <w:pPr>
        <w:ind w:hanging="360" w:left="3240"/>
      </w:pPr>
      <w:rPr>
        <w:rFonts w:ascii="Courier New" w:hAnsi="Courier New" w:eastAsia="Courier New" w:cs="Courier New"/>
      </w:rPr>
      <w:start w:val="1"/>
    </w:lvl>
    <w:lvl w:ilvl="5">
      <w:lvlJc w:val="left"/>
      <w:lvlText w:val="▪"/>
      <w:numFmt w:val="bullet"/>
      <w:pPr>
        <w:ind w:hanging="360" w:left="3960"/>
      </w:pPr>
      <w:rPr>
        <w:rFonts w:ascii="Noto Sans Symbols" w:hAnsi="Noto Sans Symbols" w:eastAsia="Noto Sans Symbols" w:cs="Noto Sans Symbols"/>
      </w:rPr>
      <w:start w:val="1"/>
    </w:lvl>
    <w:lvl w:ilvl="6">
      <w:lvlJc w:val="left"/>
      <w:lvlText w:val="●"/>
      <w:numFmt w:val="bullet"/>
      <w:pPr>
        <w:ind w:hanging="360" w:left="4680"/>
      </w:pPr>
      <w:rPr>
        <w:rFonts w:ascii="Noto Sans Symbols" w:hAnsi="Noto Sans Symbols" w:eastAsia="Noto Sans Symbols" w:cs="Noto Sans Symbols"/>
      </w:rPr>
      <w:start w:val="1"/>
    </w:lvl>
    <w:lvl w:ilvl="7">
      <w:lvlJc w:val="left"/>
      <w:lvlText w:val="o"/>
      <w:numFmt w:val="bullet"/>
      <w:pPr>
        <w:ind w:hanging="360" w:left="5400"/>
      </w:pPr>
      <w:rPr>
        <w:rFonts w:ascii="Courier New" w:hAnsi="Courier New" w:eastAsia="Courier New" w:cs="Courier New"/>
      </w:rPr>
      <w:start w:val="1"/>
    </w:lvl>
    <w:lvl w:ilvl="8">
      <w:lvlJc w:val="left"/>
      <w:lvlText w:val="▪"/>
      <w:numFmt w:val="bullet"/>
      <w:pPr>
        <w:ind w:hanging="360" w:left="6120"/>
      </w:pPr>
      <w:rPr>
        <w:rFonts w:ascii="Noto Sans Symbols" w:hAnsi="Noto Sans Symbols" w:eastAsia="Noto Sans Symbols" w:cs="Noto Sans Symbols"/>
      </w:rPr>
      <w:start w:val="1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 w:val="true"/>
      <w:spacing w:after="80" w:before="36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 w:val="true"/>
      <w:keepLines w:val="true"/>
      <w:spacing w:after="80" w:before="16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 w:val="true"/>
      <w:keepLines w:val="true"/>
      <w:spacing w:after="80"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 w:val="true"/>
      <w:spacing w:after="40"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 w:val="true"/>
      <w:spacing w:after="40"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 w:val="true"/>
      <w:spacing w:after="0"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 w:val="true"/>
      <w:spacing w:after="0"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 w:val="true"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 w:val="true"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 w:val="true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 w:val="true"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Arial"/>
        <a:cs typeface="Arial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Arial"/>
        <a:cs typeface="Arial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27</Words>
  <Characters>159</Characters>
  <CharactersWithSpaces>185</CharactersWithSpaces>
  <Application>ONLYOFFICE/9.4.0.129</Application>
  <DocSecurity>0</DocSecurity>
  <Lines>1</Lines>
  <Paragraphs>1</Paragraphs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National Scholarship Providers Association</dc:creator>
  <cp:keywords/>
  <dc:description/>
  <cp:lastModifiedBy>National Scholarship Providers Association</cp:lastModifiedBy>
  <cp:revision>1</cp:revision>
  <dcterms:created xsi:type="dcterms:W3CDTF">2026-07-28T00:59:00Z</dcterms:created>
  <dcterms:modified xsi:type="dcterms:W3CDTF">2026-07-28T01:24:00Z</dcterms:modified>
</cp:coreProperties>
</file>