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5F6F514" w14:textId="77777777">
      <w:pPr>
        <w:jc w:val="both"/>
      </w:pPr>
    </w:p>
    <w:p w14:paraId="3120BAF6" w14:textId="00BA9758">
      <w:pPr>
        <w:spacing w:line="240" w:lineRule="auto"/>
        <w:jc w:val="center"/>
        <w:rPr>
          <w:rFonts w:ascii="Poppins" w:hAnsi="Poppins" w:cs="Poppins"/>
          <w:b/>
          <w:bCs/>
          <w:color w:val="ff7233"/>
          <w:sz w:val="32"/>
          <w:szCs w:val="32"/>
        </w:rPr>
      </w:pPr>
      <w:r>
        <w:rPr>
          <w:rFonts w:ascii="Poppins" w:hAnsi="Poppins" w:cs="Poppins"/>
          <w:b/>
          <w:bCs/>
          <w:color w:val="ff7233"/>
          <w:sz w:val="32"/>
          <w:szCs w:val="32"/>
        </w:rPr>
        <w:t xml:space="preserve">Trust, Transparency, and AI</w:t>
      </w:r>
      <w:r>
        <w:rPr>
          <w:rFonts w:ascii="Poppins" w:hAnsi="Poppins" w:cs="Poppins"/>
          <w:b/>
          <w:bCs/>
          <w:color w:val="ff7233"/>
          <w:sz w:val="32"/>
          <w:szCs w:val="32"/>
        </w:rPr>
        <w:t xml:space="preserve"/>
      </w:r>
      <w:r>
        <w:rPr>
          <w:rFonts w:ascii="Poppins" w:hAnsi="Poppins" w:cs="Poppins"/>
          <w:b/>
          <w:bCs/>
          <w:color w:val="ff7233"/>
          <w:sz w:val="32"/>
          <w:szCs w:val="32"/>
        </w:rPr>
        <w:t xml:space="preserve"/>
      </w:r>
    </w:p>
    <w:p w14:paraId="5EBFAE85" w14:textId="04687629">
      <w:pPr>
        <w:spacing w:line="240" w:lineRule="auto"/>
        <w:jc w:val="center"/>
        <w:rPr>
          <w:rFonts w:ascii="Poppins" w:hAnsi="Poppins" w:cs="Poppins"/>
          <w:b/>
          <w:bCs/>
          <w:color w:val="ff7233"/>
          <w:sz w:val="32"/>
          <w:szCs w:val="32"/>
        </w:rPr>
      </w:pPr>
      <w:r>
        <w:rPr>
          <w:rFonts w:ascii="Poppins" w:hAnsi="Poppins" w:cs="Poppins"/>
          <w:b/>
          <w:bCs/>
          <w:color w:val="ff7233"/>
          <w:sz w:val="32"/>
          <w:szCs w:val="32"/>
        </w:rPr>
        <w:t xml:space="preserve">Session takeaways</w:t>
      </w:r>
    </w:p>
    <w:p w14:paraId="5B8DD309" w14:textId="77777777">
      <w:pPr>
        <w:jc w:val="center"/>
        <w:rPr>
          <w:rFonts w:ascii="Poppins" w:hAnsi="Poppins" w:cs="Poppins"/>
          <w:sz w:val="32"/>
          <w:szCs w:val="32"/>
        </w:rPr>
        <w:spacing w:line="120" w:lineRule="exact"/>
      </w:pPr>
    </w:p>
    <w:p w14:paraId="2D273A09" w14:textId="77777777">
      <w:pPr>
        <w:pStyle w:val="ListParagraph"/>
        <w:numPr>
          <w:ilvl w:val="0"/>
          <w:numId w:val="1"/>
        </w:numPr>
        <w:spacing w:line="276" w:lineRule="auto"/>
        <w:rPr>
          <w:rFonts w:ascii="Poppins" w:hAnsi="Poppins" w:cs="Poppins"/>
          <w:b/>
          <w:bCs/>
          <w:color w:val="2e4f66"/>
        </w:rPr>
        <w:keepNext/>
      </w:pPr>
      <w:r>
        <w:rPr>
          <w:rFonts w:ascii="Poppins" w:hAnsi="Poppins" w:cs="Poppins"/>
          <w:b/>
          <w:bCs/>
          <w:color w:val="2e4f66"/>
        </w:rPr>
        <w:t xml:space="preserve">Assign authority and human checks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Sort tasks into ASSIST, CHECK, or HUMAN. Organizing files can be assisted. Verify quotations and rubric matches. People decide awards, exceptions, and appeals.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For each task, name a safeguard and the person who can correct or stop the work. Follow receive, minimize, prepare, verify, and decide.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Before upload, satisfy both gates: approved use and only the information the task needs. Check tool, access, retention, reuse, and response plans.</w:t>
      </w:r>
    </w:p>
    <w:p w14:paraId="5EEC018A" w14:textId="77777777">
      <w:pPr>
        <w:rPr>
          <w:rFonts w:ascii="Poppins" w:hAnsi="Poppins" w:cs="Poppins"/>
          <w:color w:val="2e4f66"/>
        </w:rPr>
        <w:spacing w:line="120" w:lineRule="exact" w:after="0" w:before="0"/>
      </w:pPr>
    </w:p>
    <w:p w14:paraId="2D273A09" w14:textId="77777777">
      <w:pPr>
        <w:pStyle w:val="ListParagraph"/>
        <w:numPr>
          <w:ilvl w:val="0"/>
          <w:numId w:val="1"/>
        </w:numPr>
        <w:spacing w:line="276" w:lineRule="auto"/>
        <w:rPr>
          <w:rFonts w:ascii="Poppins" w:hAnsi="Poppins" w:cs="Poppins"/>
          <w:b/>
          <w:bCs/>
          <w:color w:val="2e4f66"/>
        </w:rPr>
        <w:keepNext/>
      </w:pPr>
      <w:r>
        <w:rPr>
          <w:rFonts w:ascii="Poppins" w:hAnsi="Poppins" w:cs="Poppins"/>
          <w:b/>
          <w:bCs/>
          <w:color w:val="2e4f66"/>
        </w:rPr>
        <w:t xml:space="preserve">Write requests and audit the evidence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Name the task, source, evidence requirement, and limit. Use one excerpt and the actual published criterion and anchors. Ask for quotations, source locations, gaps, and a neutral question.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In fictional A17, paragraph 2 supports 12 tutoring sessions and two recruited volunteers. It does not establish 120 students served, improved grades, or an unsupported leadership trait.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The teaching rubric supports a provisional 2/3 for a specific contribution without result evidence. Keep the quotation, source pointer, and open question in the handoff.</w:t>
      </w:r>
    </w:p>
    <w:p w14:paraId="5EEC018A" w14:textId="77777777">
      <w:pPr>
        <w:rPr>
          <w:rFonts w:ascii="Poppins" w:hAnsi="Poppins" w:cs="Poppins"/>
          <w:color w:val="2e4f66"/>
        </w:rPr>
        <w:spacing w:line="120" w:lineRule="exact" w:after="0" w:before="0"/>
      </w:pPr>
    </w:p>
    <w:p w14:paraId="2D273A09" w14:textId="77777777">
      <w:pPr>
        <w:pStyle w:val="ListParagraph"/>
        <w:numPr>
          <w:ilvl w:val="0"/>
          <w:numId w:val="1"/>
        </w:numPr>
        <w:spacing w:line="276" w:lineRule="auto"/>
        <w:rPr>
          <w:rFonts w:ascii="Poppins" w:hAnsi="Poppins" w:cs="Poppins"/>
          <w:b/>
          <w:bCs/>
          <w:color w:val="2e4f66"/>
        </w:rPr>
        <w:keepNext/>
      </w:pPr>
      <w:r>
        <w:rPr>
          <w:rFonts w:ascii="Poppins" w:hAnsi="Poppins" w:cs="Poppins"/>
          <w:b/>
          <w:bCs/>
          <w:color w:val="2e4f66"/>
        </w:rPr>
        <w:t xml:space="preserve">Calibrate with the same anchors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Score equivalent evidence with the same rubric. Both tutoring excerpts describe the same contribution and support 2/3 under the fictional teaching anchor.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Do not substitute vocabulary, polish, or prestige for evidence. A score of 3 in this example needs a specific contribution and a supported result.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One comparison does not prove fairness. Test varied fictional cases, compare unsupported claims and omissions, discuss judgments, correct, and retest.</w:t>
      </w:r>
    </w:p>
    <w:p w14:paraId="3120BAF6" w14:textId="00BA9758">
      <w:pPr>
        <w:spacing w:line="240" w:lineRule="auto"/>
        <w:jc w:val="center"/>
        <w:rPr>
          <w:rFonts w:ascii="Poppins" w:hAnsi="Poppins" w:cs="Poppins"/>
          <w:b/>
          <w:bCs/>
          <w:color w:val="ff7233"/>
          <w:sz w:val="32"/>
          <w:szCs w:val="32"/>
        </w:rPr>
        <w:pageBreakBefore/>
      </w:pPr>
      <w:r>
        <w:rPr>
          <w:rFonts w:ascii="Poppins" w:hAnsi="Poppins" w:cs="Poppins"/>
          <w:b/>
          <w:bCs/>
          <w:color w:val="ff7233"/>
          <w:sz w:val="32"/>
          <w:szCs w:val="32"/>
        </w:rPr>
        <w:t xml:space="preserve">Trust, Transparency, and AI</w:t>
      </w:r>
      <w:r>
        <w:rPr>
          <w:rFonts w:ascii="Poppins" w:hAnsi="Poppins" w:cs="Poppins"/>
          <w:b/>
          <w:bCs/>
          <w:color w:val="ff7233"/>
          <w:sz w:val="32"/>
          <w:szCs w:val="32"/>
        </w:rPr>
        <w:t xml:space="preserve"/>
      </w:r>
      <w:r>
        <w:rPr>
          <w:rFonts w:ascii="Poppins" w:hAnsi="Poppins" w:cs="Poppins"/>
          <w:b/>
          <w:bCs/>
          <w:color w:val="ff7233"/>
          <w:sz w:val="32"/>
          <w:szCs w:val="32"/>
        </w:rPr>
        <w:t xml:space="preserve"/>
      </w:r>
    </w:p>
    <w:p w14:paraId="5EBFAE85" w14:textId="04687629">
      <w:pPr>
        <w:spacing w:line="240" w:lineRule="auto"/>
        <w:jc w:val="center"/>
        <w:rPr>
          <w:rFonts w:ascii="Poppins" w:hAnsi="Poppins" w:cs="Poppins"/>
          <w:b/>
          <w:bCs/>
          <w:color w:val="ff7233"/>
          <w:sz w:val="32"/>
          <w:szCs w:val="32"/>
        </w:rPr>
      </w:pPr>
      <w:r>
        <w:rPr>
          <w:rFonts w:ascii="Poppins" w:hAnsi="Poppins" w:cs="Poppins"/>
          <w:b/>
          <w:bCs/>
          <w:color w:val="ff7233"/>
          <w:sz w:val="32"/>
          <w:szCs w:val="32"/>
        </w:rPr>
        <w:t xml:space="preserve">Session takeaways continued</w:t>
      </w:r>
    </w:p>
    <w:p w14:paraId="5B8DD309" w14:textId="77777777">
      <w:pPr>
        <w:jc w:val="center"/>
        <w:rPr>
          <w:rFonts w:ascii="Poppins" w:hAnsi="Poppins" w:cs="Poppins"/>
          <w:sz w:val="32"/>
          <w:szCs w:val="32"/>
        </w:rPr>
        <w:spacing w:line="120" w:lineRule="exact"/>
      </w:pPr>
    </w:p>
    <w:p w14:paraId="2D273A09" w14:textId="77777777">
      <w:pPr>
        <w:pStyle w:val="ListParagraph"/>
        <w:numPr>
          <w:ilvl w:val="0"/>
          <w:numId w:val="1"/>
        </w:numPr>
        <w:spacing w:line="276" w:lineRule="auto"/>
        <w:rPr>
          <w:rFonts w:ascii="Poppins" w:hAnsi="Poppins" w:cs="Poppins"/>
          <w:b/>
          <w:bCs/>
          <w:color w:val="2e4f66"/>
        </w:rPr>
        <w:keepNext/>
      </w:pPr>
      <w:r>
        <w:rPr>
          <w:rFonts w:ascii="Poppins" w:hAnsi="Poppins" w:cs="Poppins"/>
          <w:b/>
          <w:bCs/>
          <w:color w:val="2e4f66"/>
        </w:rPr>
        <w:t xml:space="preserve">Publish applicant boundaries and fair responses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Decide rules for proofreading, translation, and drafting from truthful notes. Invented achievements conflict with truthful claims. Specify disclosure before applications open.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A detector can flag human writing or miss AI-generated text. A score alone cannot establish authorship, a policy violation, or eligibility.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Pause automatic penalties, check evidence and the published rule, invite clarification when appropriate, and record human reasons and the reconsideration route.</w:t>
      </w:r>
    </w:p>
    <w:p w14:paraId="5EEC018A" w14:textId="77777777">
      <w:pPr>
        <w:rPr>
          <w:rFonts w:ascii="Poppins" w:hAnsi="Poppins" w:cs="Poppins"/>
          <w:color w:val="2e4f66"/>
        </w:rPr>
        <w:spacing w:line="120" w:lineRule="exact" w:after="0" w:before="0"/>
      </w:pPr>
    </w:p>
    <w:p w14:paraId="2D273A09" w14:textId="77777777">
      <w:pPr>
        <w:pStyle w:val="ListParagraph"/>
        <w:numPr>
          <w:ilvl w:val="0"/>
          <w:numId w:val="1"/>
        </w:numPr>
        <w:spacing w:line="276" w:lineRule="auto"/>
        <w:rPr>
          <w:rFonts w:ascii="Poppins" w:hAnsi="Poppins" w:cs="Poppins"/>
          <w:b/>
          <w:bCs/>
          <w:color w:val="2e4f66"/>
        </w:rPr>
        <w:keepNext/>
      </w:pPr>
      <w:r>
        <w:rPr>
          <w:rFonts w:ascii="Poppins" w:hAnsi="Poppins" w:cs="Poppins"/>
          <w:b/>
          <w:bCs/>
          <w:color w:val="2e4f66"/>
        </w:rPr>
        <w:t xml:space="preserve">Draft three usable policy sentences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Applicants: Name allowed help, responsibility for the statement and claims, and when and how to disclose. Make unresolved choices explicit.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Reviewers: Name the approved task and service, the person who verifies quotations and sources, and when that check occurs.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Concerns: Explain evidence review, clarification, and reconsideration. Specify a contact, review steps, and response timeline. Adapt workshop samples locally.</w:t>
      </w:r>
    </w:p>
    <w:p w14:paraId="5EEC018A" w14:textId="77777777">
      <w:pPr>
        <w:rPr>
          <w:rFonts w:ascii="Poppins" w:hAnsi="Poppins" w:cs="Poppins"/>
          <w:color w:val="2e4f66"/>
        </w:rPr>
        <w:spacing w:line="120" w:lineRule="exact" w:after="0" w:before="0"/>
      </w:pPr>
    </w:p>
    <w:p w14:paraId="2D273A09" w14:textId="77777777">
      <w:pPr>
        <w:pStyle w:val="ListParagraph"/>
        <w:numPr>
          <w:ilvl w:val="0"/>
          <w:numId w:val="1"/>
        </w:numPr>
        <w:spacing w:line="276" w:lineRule="auto"/>
        <w:rPr>
          <w:rFonts w:ascii="Poppins" w:hAnsi="Poppins" w:cs="Poppins"/>
          <w:b/>
          <w:bCs/>
          <w:color w:val="2e4f66"/>
        </w:rPr>
        <w:keepNext/>
      </w:pPr>
      <w:r>
        <w:rPr>
          <w:rFonts w:ascii="Poppins" w:hAnsi="Poppins" w:cs="Poppins"/>
          <w:b/>
          <w:bCs/>
          <w:color w:val="2e4f66"/>
        </w:rPr>
        <w:t xml:space="preserve">Plan and review a four-week pilot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Week 1: scope one task and owner. Week 2: test fictional cases and log errors. Week 3: compare, correct, and retest. Week 4: decide to proceed, revise, or stop.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Set success criteria before testing. Confirm authorization for the service and data, verification ownership, retention, and policy readiness before any real use.</w:t>
      </w:r>
    </w:p>
    <w:p w14:paraId="493E1B5C" w14:textId="186403FE">
      <w:pPr>
        <w:pStyle w:val="ListParagraph"/>
        <w:numPr>
          <w:ilvl w:val="1"/>
          <w:numId w:val="1"/>
        </w:numPr>
        <w:spacing w:line="276" w:lineRule="auto"/>
        <w:rPr>
          <w:rFonts w:ascii="Poppins" w:hAnsi="Poppins" w:cs="Poppins"/>
          <w:color w:val="2e4f66"/>
        </w:rPr>
      </w:pPr>
      <w:r>
        <w:rPr>
          <w:rFonts w:ascii="Poppins" w:hAnsi="Poppins" w:cs="Poppins"/>
          <w:color w:val="2e4f66"/>
        </w:rPr>
        <w:t xml:space="preserve">Write one task, one specific human check, an owner, and a date. Name the evidence needed to continue and an error that would pause the pilot.</w:t>
      </w:r>
    </w:p>
    <w:p w14:paraId="5EEC018A" w14:textId="77777777">
      <w:pPr>
        <w:rPr>
          <w:rFonts w:ascii="Poppins" w:hAnsi="Poppins" w:cs="Poppins"/>
          <w:color w:val="2e4f66"/>
        </w:rPr>
        <w:jc w:val="center"/>
        <w:spacing w:before="120" w:after="0"/>
      </w:pPr>
      <w:r>
        <w:rPr>
          <w:rFonts w:ascii="Poppins" w:hAnsi="Poppins" w:cs="Poppins"/>
          <w:color w:val="2e4f66"/>
          <w:sz w:val="20"/>
          <w:szCs w:val="20"/>
        </w:rPr>
        <w:t xml:space="preserve">Miguel Guhlin · October 21, 2026 · mguhlin.github.io/nspa/2026/</w:t>
      </w:r>
    </w:p>
    <w:sectPr>
      <w:headerReference w:type="default" r:id="rId9"/>
      <w:pgSz w:h="15840" w:w="12240"/>
      <w:pgMar w:top="1440" w:right="720" w:bottom="144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086AF7D" w14:textId="77777777">
      <w:pPr>
        <w:spacing w:after="0" w:line="240" w:lineRule="auto"/>
      </w:pPr>
      <w:r>
        <w:separator/>
      </w:r>
    </w:p>
  </w:endnote>
  <w:endnote w:type="continuationSeparator" w:id="0">
    <w:p w14:paraId="3FBF8F8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Poppins">
    <w:panose1 w:val="05040102010807070707"/>
  </w:font>
  <w:font w:name="Noto Sans Symbols">
    <w:panose1 w:val="020B0502040504020204"/>
  </w:font>
  <w:font w:name="Courier New">
    <w:panose1 w:val="020704090202050204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6FBBEFF" w14:textId="77777777">
      <w:pPr>
        <w:spacing w:after="0" w:line="240" w:lineRule="auto"/>
      </w:pPr>
      <w:r>
        <w:separator/>
      </w:r>
    </w:p>
  </w:footnote>
  <w:footnote w:type="continuationSeparator" w:id="0">
    <w:p w14:paraId="759AD2D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2DD0E99" w14:textId="3C280A4E">
    <w:pPr>
      <w:pStyle w:val="Header"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-457200</wp:posOffset>
              </wp:positionV>
              <wp:extent cx="7772400" cy="10061962"/>
              <wp:effectExtent l="0" t="0" r="0" b="0"/>
              <wp:wrapNone/>
              <wp:docPr id="1" name="Picture 2" descr="A white paper with blue text&#10;&#10;AI-generated content may be incorrect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796066805" name="Picture 2" descr="A white paper with blue text&#10;&#10;AI-generated content may be incorrect."/>
                      <pic:cNvPicPr/>
                      <pic:nvPr/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72400" cy="10061962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251658240;o:allowoverlap:true;o:allowincell:true;mso-position-horizontal-relative:margin;mso-position-horizontal:center;mso-position-vertical-relative:text;margin-top:-36.00pt;mso-position-vertical:absolute;width:612.00pt;height:792.28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</w:p>
  <w:p w14:paraId="6BDCC648" w14:textId="77777777">
    <w:pPr>
      <w:pStyle w:val="Header"/>
    </w:pPr>
  </w:p>
  <w:p w14:paraId="6323B476" w14:textId="77777777">
    <w:pPr>
      <w:pStyle w:val="Header"/>
    </w:pPr>
  </w:p>
  <w:p w14:paraId="7DC2FD42" w14:textId="77777777">
    <w:pPr>
      <w:pStyle w:val="Header"/>
    </w:pPr>
  </w:p>
  <w:p w14:paraId="4B9A4C6D" w14:textId="77777777">
    <w:pPr>
      <w:pStyle w:val="Header"/>
    </w:pPr>
  </w:p>
  <w:p w14:paraId="0716A6E4" w14:textId="4BB077F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multilevel"/>
    <w:nsid w:val="27AF3098"/>
    <w:lvl w:ilvl="0">
      <w:lvlJc w:val="left"/>
      <w:lvlText w:val="%1."/>
      <w:numFmt w:val="decimal"/>
      <w:pPr>
        <w:ind w:hanging="360" w:left="360"/>
      </w:pPr>
      <w:start w:val="1"/>
    </w:lvl>
    <w:lvl w:ilvl="1">
      <w:lvlJc w:val="left"/>
      <w:lvlText w:val="o"/>
      <w:numFmt w:val="bullet"/>
      <w:pPr>
        <w:ind w:hanging="360" w:left="1080"/>
      </w:pPr>
      <w:rPr>
        <w:rFonts w:ascii="Courier New" w:hAnsi="Courier New" w:eastAsia="Courier New" w:cs="Courier New"/>
      </w:rPr>
      <w:start w:val="1"/>
    </w:lvl>
    <w:lvl w:ilvl="2">
      <w:lvlJc w:val="left"/>
      <w:lvlText w:val="▪"/>
      <w:numFmt w:val="bullet"/>
      <w:pPr>
        <w:ind w:hanging="360" w:left="1800"/>
      </w:pPr>
      <w:rPr>
        <w:rFonts w:ascii="Noto Sans Symbols" w:hAnsi="Noto Sans Symbols" w:eastAsia="Noto Sans Symbols" w:cs="Noto Sans Symbols"/>
      </w:rPr>
      <w:start w:val="1"/>
    </w:lvl>
    <w:lvl w:ilvl="3">
      <w:lvlJc w:val="left"/>
      <w:lvlText w:val="●"/>
      <w:numFmt w:val="bullet"/>
      <w:pPr>
        <w:ind w:hanging="360" w:left="2520"/>
      </w:pPr>
      <w:rPr>
        <w:rFonts w:ascii="Noto Sans Symbols" w:hAnsi="Noto Sans Symbols" w:eastAsia="Noto Sans Symbols" w:cs="Noto Sans Symbols"/>
      </w:rPr>
      <w:start w:val="1"/>
    </w:lvl>
    <w:lvl w:ilvl="4">
      <w:lvlJc w:val="left"/>
      <w:lvlText w:val="o"/>
      <w:numFmt w:val="bullet"/>
      <w:pPr>
        <w:ind w:hanging="360" w:left="3240"/>
      </w:pPr>
      <w:rPr>
        <w:rFonts w:ascii="Courier New" w:hAnsi="Courier New" w:eastAsia="Courier New" w:cs="Courier New"/>
      </w:rPr>
      <w:start w:val="1"/>
    </w:lvl>
    <w:lvl w:ilvl="5">
      <w:lvlJc w:val="left"/>
      <w:lvlText w:val="▪"/>
      <w:numFmt w:val="bullet"/>
      <w:pPr>
        <w:ind w:hanging="360" w:left="3960"/>
      </w:pPr>
      <w:rPr>
        <w:rFonts w:ascii="Noto Sans Symbols" w:hAnsi="Noto Sans Symbols" w:eastAsia="Noto Sans Symbols" w:cs="Noto Sans Symbols"/>
      </w:rPr>
      <w:start w:val="1"/>
    </w:lvl>
    <w:lvl w:ilvl="6">
      <w:lvlJc w:val="left"/>
      <w:lvlText w:val="●"/>
      <w:numFmt w:val="bullet"/>
      <w:pPr>
        <w:ind w:hanging="360" w:left="4680"/>
      </w:pPr>
      <w:rPr>
        <w:rFonts w:ascii="Noto Sans Symbols" w:hAnsi="Noto Sans Symbols" w:eastAsia="Noto Sans Symbols" w:cs="Noto Sans Symbols"/>
      </w:rPr>
      <w:start w:val="1"/>
    </w:lvl>
    <w:lvl w:ilvl="7">
      <w:lvlJc w:val="left"/>
      <w:lvlText w:val="o"/>
      <w:numFmt w:val="bullet"/>
      <w:pPr>
        <w:ind w:hanging="360" w:left="5400"/>
      </w:pPr>
      <w:rPr>
        <w:rFonts w:ascii="Courier New" w:hAnsi="Courier New" w:eastAsia="Courier New" w:cs="Courier New"/>
      </w:rPr>
      <w:start w:val="1"/>
    </w:lvl>
    <w:lvl w:ilvl="8">
      <w:lvlJc w:val="left"/>
      <w:lvlText w:val="▪"/>
      <w:numFmt w:val="bullet"/>
      <w:pPr>
        <w:ind w:hanging="360" w:left="6120"/>
      </w:pPr>
      <w:rPr>
        <w:rFonts w:ascii="Noto Sans Symbols" w:hAnsi="Noto Sans Symbols" w:eastAsia="Noto Sans Symbols" w:cs="Noto Sans Symbols"/>
      </w:rPr>
      <w:start w:val="1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 w:val="true"/>
      <w:spacing w:after="80" w:before="36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 w:val="true"/>
      <w:keepLines w:val="true"/>
      <w:spacing w:after="80" w:before="16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 w:val="true"/>
      <w:keepLines w:val="true"/>
      <w:spacing w:after="80"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 w:val="true"/>
      <w:keepLines w:val="true"/>
      <w:spacing w:after="40"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 w:val="true"/>
      <w:keepLines w:val="true"/>
      <w:spacing w:after="40"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 w:val="true"/>
      <w:keepLines w:val="true"/>
      <w:spacing w:after="0"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 w:val="true"/>
      <w:keepLines w:val="true"/>
      <w:spacing w:after="0"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 w:val="true"/>
      <w:keepLines w:val="true"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 w:val="true"/>
      <w:keepLines w:val="true"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 w:val="true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 w:val="true"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Arial"/>
        <a:cs typeface="Arial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Arial"/>
        <a:cs typeface="Arial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27</Words>
  <Characters>159</Characters>
  <CharactersWithSpaces>185</CharactersWithSpaces>
  <Application>ONLYOFFICE/9.4.0.129</Application>
  <DocSecurity>0</DocSecurity>
  <Lines>1</Lines>
  <Paragraphs>1</Paragraphs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National Scholarship Providers Association</dc:creator>
  <cp:keywords/>
  <dc:description/>
  <cp:lastModifiedBy>National Scholarship Providers Association</cp:lastModifiedBy>
  <cp:revision>1</cp:revision>
  <dcterms:created xsi:type="dcterms:W3CDTF">2026-07-28T00:59:00Z</dcterms:created>
  <dcterms:modified xsi:type="dcterms:W3CDTF">2026-07-28T01:24:00Z</dcterms:modified>
</cp:coreProperties>
</file>