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before="0" w:line="240" w:lineRule="auto"/>
            <w:ind w:left="720" w:hanging="36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Título: Pensamento computacional e jogos educacionais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before="0" w:line="240" w:lineRule="auto"/>
            <w:ind w:left="720" w:firstLine="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before="0" w:line="240" w:lineRule="auto"/>
            <w:ind w:left="720" w:firstLine="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numPr>
              <w:ilvl w:val="0"/>
              <w:numId w:val="5"/>
            </w:numPr>
            <w:spacing w:after="0" w:before="0" w:line="240" w:lineRule="auto"/>
            <w:ind w:left="72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Objetivo: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before="0" w:lineRule="auto"/>
            <w:ind w:firstLine="567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before="0" w:lineRule="auto"/>
            <w:ind w:firstLine="567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O objetivo deste estudo foi delineado a partir do paradigma GQM (BASILI </w:t>
          </w:r>
          <w:r w:rsidDel="00000000" w:rsidR="00000000" w:rsidRPr="00000000">
            <w:rPr>
              <w:rFonts w:ascii="Arial" w:cs="Arial" w:eastAsia="Arial" w:hAnsi="Arial"/>
              <w:i w:val="1"/>
              <w:color w:val="000000"/>
              <w:rtl w:val="0"/>
            </w:rPr>
            <w:t xml:space="preserve">et al.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, 1994):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1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3"/>
        <w:gridCol w:w="5721"/>
        <w:tblGridChange w:id="0">
          <w:tblGrid>
            <w:gridCol w:w="2433"/>
            <w:gridCol w:w="5721"/>
          </w:tblGrid>
        </w:tblGridChange>
      </w:tblGrid>
      <w:tr>
        <w:tc>
          <w:tcPr>
            <w:shd w:fill="c0c0c0" w:val="clear"/>
            <w:vAlign w:val="center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spacing w:after="0" w:before="0" w:line="240" w:lineRule="auto"/>
                  <w:ind w:firstLine="0"/>
                  <w:rPr>
                    <w:rFonts w:ascii="Arial" w:cs="Arial" w:eastAsia="Arial" w:hAnsi="Arial"/>
                    <w:color w:val="00000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a"/>
                    <w:sz w:val="20"/>
                    <w:szCs w:val="20"/>
                    <w:rtl w:val="0"/>
                  </w:rPr>
                  <w:t xml:space="preserve">Analisar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spacing w:after="0" w:before="0" w:line="240" w:lineRule="auto"/>
                  <w:ind w:firstLine="0"/>
                  <w:jc w:val="left"/>
                  <w:rPr>
                    <w:rFonts w:ascii="Arial" w:cs="Arial" w:eastAsia="Arial" w:hAnsi="Arial"/>
                    <w:color w:val="00000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a"/>
                    <w:sz w:val="20"/>
                    <w:szCs w:val="20"/>
                    <w:rtl w:val="0"/>
                  </w:rPr>
                  <w:t xml:space="preserve">Publicações científicas relacionadas à produção de </w:t>
                </w:r>
                <w:r w:rsidDel="00000000" w:rsidR="00000000" w:rsidRPr="00000000">
                  <w:rPr>
                    <w:rFonts w:ascii="Arial" w:cs="Arial" w:eastAsia="Arial" w:hAnsi="Arial"/>
                    <w:i w:val="1"/>
                    <w:color w:val="00000a"/>
                    <w:sz w:val="20"/>
                    <w:szCs w:val="20"/>
                    <w:rtl w:val="0"/>
                  </w:rPr>
                  <w:t xml:space="preserve">jogos educativos voltados a pensamento computacional e disciplinas extracurriculares.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shd w:fill="c0c0c0" w:val="clear"/>
            <w:vAlign w:val="center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spacing w:after="0" w:before="0" w:line="240" w:lineRule="auto"/>
                  <w:ind w:firstLine="0"/>
                  <w:rPr>
                    <w:rFonts w:ascii="Arial" w:cs="Arial" w:eastAsia="Arial" w:hAnsi="Arial"/>
                    <w:color w:val="00000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a"/>
                    <w:sz w:val="20"/>
                    <w:szCs w:val="20"/>
                    <w:rtl w:val="0"/>
                  </w:rPr>
                  <w:t xml:space="preserve">Com o propósito de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tabs>
                    <w:tab w:val="left" w:pos="709"/>
                  </w:tabs>
                  <w:spacing w:after="0" w:before="0" w:line="240" w:lineRule="auto"/>
                  <w:ind w:firstLine="0"/>
                  <w:jc w:val="left"/>
                  <w:rPr>
                    <w:rFonts w:ascii="Arial" w:cs="Arial" w:eastAsia="Arial" w:hAnsi="Arial"/>
                    <w:color w:val="00000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a"/>
                    <w:sz w:val="20"/>
                    <w:szCs w:val="20"/>
                    <w:rtl w:val="0"/>
                  </w:rPr>
                  <w:t xml:space="preserve">Identificar se jogos podem ser utilizados para o desenvolvimento do Pensamento Computacional.</w:t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c0c0c0" w:val="clear"/>
            <w:vAlign w:val="cente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spacing w:after="0" w:before="0" w:line="240" w:lineRule="auto"/>
                  <w:ind w:firstLine="0"/>
                  <w:rPr>
                    <w:rFonts w:ascii="Arial" w:cs="Arial" w:eastAsia="Arial" w:hAnsi="Arial"/>
                    <w:color w:val="00000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a"/>
                    <w:sz w:val="20"/>
                    <w:szCs w:val="20"/>
                    <w:rtl w:val="0"/>
                  </w:rPr>
                  <w:t xml:space="preserve">No que diz respeito ao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tabs>
                    <w:tab w:val="left" w:pos="709"/>
                  </w:tabs>
                  <w:spacing w:after="0" w:before="0" w:line="240" w:lineRule="auto"/>
                  <w:ind w:firstLine="0"/>
                  <w:jc w:val="left"/>
                  <w:rPr>
                    <w:rFonts w:ascii="Arial" w:cs="Arial" w:eastAsia="Arial" w:hAnsi="Arial"/>
                    <w:color w:val="00000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a"/>
                    <w:sz w:val="20"/>
                    <w:szCs w:val="20"/>
                    <w:rtl w:val="0"/>
                  </w:rPr>
                  <w:t xml:space="preserve">Usuário</w:t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c0c0c0" w:val="clear"/>
            <w:vAlign w:val="cente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spacing w:after="0" w:before="0" w:line="240" w:lineRule="auto"/>
                  <w:ind w:firstLine="0"/>
                  <w:rPr>
                    <w:rFonts w:ascii="Arial" w:cs="Arial" w:eastAsia="Arial" w:hAnsi="Arial"/>
                    <w:color w:val="00000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a"/>
                    <w:sz w:val="20"/>
                    <w:szCs w:val="20"/>
                    <w:rtl w:val="0"/>
                  </w:rPr>
                  <w:t xml:space="preserve">Do ponto de vista 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tabs>
                    <w:tab w:val="left" w:pos="709"/>
                  </w:tabs>
                  <w:spacing w:after="0" w:before="0" w:line="240" w:lineRule="auto"/>
                  <w:ind w:firstLine="0"/>
                  <w:jc w:val="left"/>
                  <w:rPr>
                    <w:rFonts w:ascii="Arial" w:cs="Arial" w:eastAsia="Arial" w:hAnsi="Arial"/>
                    <w:color w:val="00000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a"/>
                    <w:sz w:val="20"/>
                    <w:szCs w:val="20"/>
                    <w:rtl w:val="0"/>
                  </w:rPr>
                  <w:t xml:space="preserve">Pesquisador</w:t>
                </w:r>
              </w:p>
            </w:sdtContent>
          </w:sdt>
        </w:tc>
      </w:tr>
      <w:tr>
        <w:tc>
          <w:tcPr>
            <w:shd w:fill="c0c0c0" w:val="clear"/>
            <w:vAlign w:val="cente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spacing w:after="0" w:before="0" w:line="240" w:lineRule="auto"/>
                  <w:ind w:firstLine="0"/>
                  <w:rPr>
                    <w:rFonts w:ascii="Arial" w:cs="Arial" w:eastAsia="Arial" w:hAnsi="Arial"/>
                    <w:color w:val="00000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a"/>
                    <w:sz w:val="20"/>
                    <w:szCs w:val="20"/>
                    <w:rtl w:val="0"/>
                  </w:rPr>
                  <w:t xml:space="preserve">No contexto de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tabs>
                    <w:tab w:val="left" w:pos="709"/>
                  </w:tabs>
                  <w:spacing w:after="0" w:before="0" w:line="240" w:lineRule="auto"/>
                  <w:ind w:firstLine="0"/>
                  <w:jc w:val="left"/>
                  <w:rPr>
                    <w:rFonts w:ascii="Arial" w:cs="Arial" w:eastAsia="Arial" w:hAnsi="Arial"/>
                    <w:i w:val="1"/>
                    <w:color w:val="00000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color w:val="00000a"/>
                    <w:sz w:val="20"/>
                    <w:szCs w:val="20"/>
                    <w:rtl w:val="0"/>
                  </w:rPr>
                  <w:t xml:space="preserve">Aprendizagem Implícita e explícita</w:t>
                </w:r>
              </w:p>
            </w:sdtContent>
          </w:sdt>
        </w:tc>
      </w:tr>
    </w:tbl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Formulação da Pergunta: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tabs>
              <w:tab w:val="left" w:pos="3857"/>
            </w:tabs>
            <w:spacing w:after="0" w:before="0" w:lineRule="auto"/>
            <w:ind w:firstLine="426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Questão principal: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 Jogos podem ser utilizados no desenvolvimento do Pensamento Computacional?</w:t>
          </w: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tabs>
              <w:tab w:val="left" w:pos="3857"/>
            </w:tabs>
            <w:spacing w:after="0" w:before="0" w:lineRule="auto"/>
            <w:ind w:firstLine="426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0" w:before="0" w:lineRule="auto"/>
            <w:ind w:left="426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Q1: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 Jogos comerciais podem ser utilizados para o desenvolvimento do Pensamento Computacional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0" w:before="0" w:lineRule="auto"/>
            <w:ind w:left="426" w:firstLine="0"/>
            <w:rPr>
              <w:rFonts w:ascii="Arial" w:cs="Arial" w:eastAsia="Arial" w:hAnsi="Arial"/>
              <w:strike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Q2: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 Quais os critérios de desenvolvimento são utilizados para a produção de jogos voltados ao desenvolvimento do Pensamento Computacional.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after="0" w:before="0" w:lineRule="auto"/>
            <w:ind w:left="426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Q3: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Jogos educacionais podem ser utilizados para o desenvolvimento do Pensamento Computacional?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0" w:before="0" w:lineRule="auto"/>
            <w:ind w:left="426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Q4: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Que formas os jogos utilizam para promover o desenvolvimento do Pensamento Computacional?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0" w:before="0" w:lineRule="auto"/>
            <w:ind w:left="426" w:firstLine="0"/>
            <w:rPr>
              <w:rFonts w:ascii="Arial" w:cs="Arial" w:eastAsia="Arial" w:hAnsi="Arial"/>
              <w:strike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after="0" w:before="0" w:line="240" w:lineRule="auto"/>
            <w:ind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numPr>
              <w:ilvl w:val="0"/>
              <w:numId w:val="5"/>
            </w:numPr>
            <w:spacing w:after="0" w:before="0" w:line="240" w:lineRule="auto"/>
            <w:ind w:left="72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Critérios de Seleção de Fontes: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tabs>
              <w:tab w:val="left" w:pos="709"/>
            </w:tabs>
            <w:spacing w:after="0" w:before="0" w:lineRule="auto"/>
            <w:ind w:firstLine="426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tabs>
              <w:tab w:val="left" w:pos="709"/>
            </w:tabs>
            <w:spacing w:after="0" w:before="0" w:lineRule="auto"/>
            <w:ind w:firstLine="426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Para as fontes de pesquisa foram adotados os critérios a seguir: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numPr>
              <w:ilvl w:val="0"/>
              <w:numId w:val="6"/>
            </w:numPr>
            <w:tabs>
              <w:tab w:val="left" w:pos="709"/>
            </w:tabs>
            <w:spacing w:after="0" w:before="0" w:lineRule="auto"/>
            <w:ind w:left="72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Consulta de artigos em bibliotecas digitais;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numPr>
              <w:ilvl w:val="0"/>
              <w:numId w:val="6"/>
            </w:numPr>
            <w:tabs>
              <w:tab w:val="left" w:pos="709"/>
            </w:tabs>
            <w:spacing w:after="0" w:before="0" w:lineRule="auto"/>
            <w:ind w:left="72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Disponibilidade de consulta de artigos através da </w:t>
          </w:r>
          <w:r w:rsidDel="00000000" w:rsidR="00000000" w:rsidRPr="00000000">
            <w:rPr>
              <w:rFonts w:ascii="Arial" w:cs="Arial" w:eastAsia="Arial" w:hAnsi="Arial"/>
              <w:i w:val="1"/>
              <w:color w:val="00000a"/>
              <w:rtl w:val="0"/>
            </w:rPr>
            <w:t xml:space="preserve">web;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numPr>
              <w:ilvl w:val="0"/>
              <w:numId w:val="6"/>
            </w:numPr>
            <w:tabs>
              <w:tab w:val="left" w:pos="709"/>
            </w:tabs>
            <w:spacing w:after="0" w:before="0" w:lineRule="auto"/>
            <w:ind w:left="72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Presença de mecanismos de busca através de palavras-chaves que suportem a </w:t>
          </w:r>
          <w:r w:rsidDel="00000000" w:rsidR="00000000" w:rsidRPr="00000000">
            <w:rPr>
              <w:rFonts w:ascii="Arial" w:cs="Arial" w:eastAsia="Arial" w:hAnsi="Arial"/>
              <w:i w:val="1"/>
              <w:color w:val="00000a"/>
              <w:rtl w:val="0"/>
            </w:rPr>
            <w:t xml:space="preserve">String</w:t>
          </w: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 de busca;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numPr>
              <w:ilvl w:val="0"/>
              <w:numId w:val="6"/>
            </w:numPr>
            <w:tabs>
              <w:tab w:val="left" w:pos="709"/>
            </w:tabs>
            <w:spacing w:after="0" w:before="0" w:lineRule="auto"/>
            <w:ind w:left="72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Ter os estudos disponíveis na língua portuguesa.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tabs>
              <w:tab w:val="left" w:pos="709"/>
            </w:tabs>
            <w:spacing w:after="0" w:before="0" w:lineRule="auto"/>
            <w:ind w:left="720" w:firstLine="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numPr>
              <w:ilvl w:val="0"/>
              <w:numId w:val="5"/>
            </w:numPr>
            <w:spacing w:after="0" w:before="0" w:line="240" w:lineRule="auto"/>
            <w:ind w:left="72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Métodos de Busca de Fontes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after="0" w:before="0" w:line="240" w:lineRule="auto"/>
            <w:ind w:left="720" w:firstLine="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tabs>
              <w:tab w:val="left" w:pos="709"/>
            </w:tabs>
            <w:spacing w:after="0" w:before="0" w:lineRule="auto"/>
            <w:ind w:left="72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As fontes serão acessadas via </w:t>
          </w:r>
          <w:r w:rsidDel="00000000" w:rsidR="00000000" w:rsidRPr="00000000">
            <w:rPr>
              <w:rFonts w:ascii="Arial" w:cs="Arial" w:eastAsia="Arial" w:hAnsi="Arial"/>
              <w:i w:val="1"/>
              <w:color w:val="000000"/>
              <w:rtl w:val="0"/>
            </w:rPr>
            <w:t xml:space="preserve">web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, através de máquinas de buscas que: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numPr>
              <w:ilvl w:val="1"/>
              <w:numId w:val="1"/>
            </w:numPr>
            <w:tabs>
              <w:tab w:val="left" w:pos="709"/>
            </w:tabs>
            <w:spacing w:after="0" w:before="0" w:lineRule="auto"/>
            <w:ind w:left="1080" w:hanging="36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Permitam o uso de expressões lógicas ou equivalente;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numPr>
              <w:ilvl w:val="1"/>
              <w:numId w:val="1"/>
            </w:numPr>
            <w:tabs>
              <w:tab w:val="left" w:pos="709"/>
            </w:tabs>
            <w:spacing w:after="0" w:before="0" w:lineRule="auto"/>
            <w:ind w:left="1080" w:hanging="36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Permitam busca no texto completo ou em campos específicos das publicações (por exemplo: título, abstract, palavras-chave);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numPr>
              <w:ilvl w:val="0"/>
              <w:numId w:val="1"/>
            </w:numPr>
            <w:tabs>
              <w:tab w:val="left" w:pos="709"/>
            </w:tabs>
            <w:spacing w:after="0" w:before="0" w:lineRule="auto"/>
            <w:ind w:left="72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Portanto, no contexto desta revisão, não será considerada a busca manual.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tabs>
              <w:tab w:val="left" w:pos="709"/>
            </w:tabs>
            <w:spacing w:after="0" w:before="0" w:lineRule="auto"/>
            <w:ind w:left="720" w:firstLine="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numPr>
              <w:ilvl w:val="0"/>
              <w:numId w:val="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Listagem de Fontes: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tabs>
              <w:tab w:val="left" w:pos="709"/>
            </w:tabs>
            <w:spacing w:after="0" w:before="0" w:lineRule="auto"/>
            <w:ind w:firstLine="709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A biblioteca digital que será consultada está listada abaixo: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tabs>
              <w:tab w:val="left" w:pos="709"/>
            </w:tabs>
            <w:spacing w:after="0" w:before="0" w:lineRule="auto"/>
            <w:ind w:left="720" w:firstLine="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SBIE: </w:t>
          </w:r>
          <w:hyperlink r:id="rId7">
            <w:r w:rsidDel="00000000" w:rsidR="00000000" w:rsidRPr="00000000">
              <w:rPr>
                <w:rFonts w:ascii="Arial" w:cs="Arial" w:eastAsia="Arial" w:hAnsi="Arial"/>
                <w:color w:val="000000"/>
                <w:u w:val="none"/>
                <w:rtl w:val="0"/>
              </w:rPr>
              <w:t xml:space="preserve">http://www.br-ie.org/pub/index.php/sbie/index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tabs>
              <w:tab w:val="left" w:pos="709"/>
            </w:tabs>
            <w:spacing w:after="0" w:before="0" w:lineRule="auto"/>
            <w:ind w:left="720" w:firstLine="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RBIE: </w:t>
          </w:r>
          <w:hyperlink r:id="rId8">
            <w:r w:rsidDel="00000000" w:rsidR="00000000" w:rsidRPr="00000000">
              <w:rPr>
                <w:rFonts w:ascii="Arial" w:cs="Arial" w:eastAsia="Arial" w:hAnsi="Arial"/>
                <w:color w:val="000000"/>
                <w:u w:val="none"/>
                <w:rtl w:val="0"/>
              </w:rPr>
              <w:t xml:space="preserve">https://www.br-ie.org/pub/index.php/rbie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tabs>
              <w:tab w:val="left" w:pos="709"/>
            </w:tabs>
            <w:spacing w:after="0" w:before="0" w:lineRule="auto"/>
            <w:ind w:left="720" w:firstLine="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numPr>
              <w:ilvl w:val="0"/>
              <w:numId w:val="5"/>
            </w:numPr>
            <w:spacing w:after="0" w:before="0" w:line="240" w:lineRule="auto"/>
            <w:ind w:left="72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Idioma dos Artigos: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tabs>
              <w:tab w:val="left" w:pos="709"/>
            </w:tabs>
            <w:spacing w:after="0" w:before="0" w:lineRule="auto"/>
            <w:ind w:firstLine="709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tabs>
              <w:tab w:val="left" w:pos="709"/>
            </w:tabs>
            <w:spacing w:after="0" w:before="0" w:lineRule="auto"/>
            <w:ind w:firstLine="709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Português, por ser uma análise de publicações em território nacional e também porque a maior parte dos trabalhos sobre o assunto abordado nesta revisão é publicada nos eventos brasileiros em destaque.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tabs>
              <w:tab w:val="left" w:pos="709"/>
            </w:tabs>
            <w:spacing w:after="0" w:before="0" w:lineRule="auto"/>
            <w:ind w:firstLine="709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numPr>
              <w:ilvl w:val="0"/>
              <w:numId w:val="5"/>
            </w:numPr>
            <w:spacing w:after="0" w:before="0" w:line="240" w:lineRule="auto"/>
            <w:ind w:left="72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Critérios de Inclusão e Exclusão dos Artigos: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Os trabalhos devem propor ou descrever o uso de: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tabs>
              <w:tab w:val="left" w:pos="3857"/>
            </w:tabs>
            <w:spacing w:after="0" w:before="0" w:lineRule="auto"/>
            <w:ind w:firstLine="426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tabs>
              <w:tab w:val="left" w:pos="3857"/>
            </w:tabs>
            <w:spacing w:after="0" w:before="0" w:lineRule="auto"/>
            <w:ind w:left="708" w:firstLine="0"/>
            <w:rPr>
              <w:rFonts w:ascii="Arial" w:cs="Arial" w:eastAsia="Arial" w:hAnsi="Arial"/>
              <w:color w:val="000000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CI1: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Jogos comerciais voltados para o desenvolvimento do pensamento computacional.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spacing w:after="0" w:before="0" w:lineRule="auto"/>
            <w:ind w:left="708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CI2: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Critérios de desenvolvimento utilizados para a produção de jogos voltados ao desenvolvimento do Pensamento Computacional.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spacing w:after="0" w:before="0" w:lineRule="auto"/>
            <w:ind w:left="708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CI3: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Jogos educacionais voltados para o desenvolvimento do Pensamento Computacional.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after="0" w:before="0" w:lineRule="auto"/>
            <w:ind w:left="708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CI4: Formas que os jogos utilizam para promover o desenvolvimento do Pensamento Computacional.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Os trabalhos não devem propor ou descrever o uso de: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CE1:</w:t>
          </w: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O que não atende aos critérios de inclusão do CI1.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CE2: O que não atende aos critérios de inclusão do CI2.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CE3: O que não atende aos critérios de inclusão do CI3.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spacing w:after="0" w:before="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CE4: O que não atende aos critérios de inclusão do CI4.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spacing w:after="0" w:before="0" w:lineRule="auto"/>
            <w:ind w:left="720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CE5: Publicações que estejam em idiomas diferentes do português.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CE6: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 Publicações científicas que não estejam disponíveis na base eletrônica.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CE7: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 Publicações científicas anteriores a 2013.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numPr>
              <w:ilvl w:val="0"/>
              <w:numId w:val="5"/>
            </w:numPr>
            <w:spacing w:after="0" w:before="0" w:line="240" w:lineRule="auto"/>
            <w:ind w:left="72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Processo de Seleção dos Estudos Primários: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spacing w:after="0" w:before="0" w:line="240" w:lineRule="auto"/>
            <w:ind w:left="720" w:firstLine="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numPr>
              <w:ilvl w:val="0"/>
              <w:numId w:val="2"/>
            </w:numPr>
            <w:tabs>
              <w:tab w:val="left" w:pos="709"/>
            </w:tabs>
            <w:spacing w:after="0" w:before="0" w:lineRule="auto"/>
            <w:ind w:left="709" w:hanging="284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É executada a busca nas fontes selecionadas utilizando a </w:t>
          </w:r>
          <w:r w:rsidDel="00000000" w:rsidR="00000000" w:rsidRPr="00000000">
            <w:rPr>
              <w:rFonts w:ascii="Arial" w:cs="Arial" w:eastAsia="Arial" w:hAnsi="Arial"/>
              <w:i w:val="1"/>
              <w:color w:val="00000a"/>
              <w:rtl w:val="0"/>
            </w:rPr>
            <w:t xml:space="preserve">string </w:t>
          </w: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de busca elaborada.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numPr>
              <w:ilvl w:val="0"/>
              <w:numId w:val="2"/>
            </w:numPr>
            <w:tabs>
              <w:tab w:val="left" w:pos="709"/>
            </w:tabs>
            <w:spacing w:after="0" w:before="0" w:lineRule="auto"/>
            <w:ind w:left="709" w:hanging="284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O conjunto de artigos é selecionado a partir da verificação dos critérios de inclusão e exclusão. Esta verificação se dará pela leitura do título do artigo, resumo e palavras-chave.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numPr>
              <w:ilvl w:val="0"/>
              <w:numId w:val="2"/>
            </w:numPr>
            <w:tabs>
              <w:tab w:val="left" w:pos="709"/>
            </w:tabs>
            <w:spacing w:after="0" w:before="0" w:lineRule="auto"/>
            <w:ind w:left="709" w:hanging="284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Os artigos incluídos e excluídos são documentados no “Formulário de Seleção de Estudos”.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tabs>
              <w:tab w:val="left" w:pos="709"/>
            </w:tabs>
            <w:spacing w:after="0" w:before="0" w:lineRule="auto"/>
            <w:ind w:left="709" w:firstLine="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numPr>
              <w:ilvl w:val="0"/>
              <w:numId w:val="5"/>
            </w:numPr>
            <w:spacing w:after="0" w:before="0" w:line="240" w:lineRule="auto"/>
            <w:ind w:left="72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Avaliação da Qualidade dos Estudos Primários: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tabs>
              <w:tab w:val="left" w:pos="709"/>
            </w:tabs>
            <w:spacing w:after="0" w:before="0" w:lineRule="auto"/>
            <w:ind w:firstLine="709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tabs>
              <w:tab w:val="left" w:pos="709"/>
            </w:tabs>
            <w:spacing w:after="0" w:before="0" w:lineRule="auto"/>
            <w:ind w:firstLine="709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Serão aplicados procedimentos para avaliação da qualidade dos estudos pesquisados. (Testes de software)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tabs>
              <w:tab w:val="left" w:pos="709"/>
            </w:tabs>
            <w:spacing w:after="0" w:before="0" w:lineRule="auto"/>
            <w:ind w:left="709" w:firstLine="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numPr>
              <w:ilvl w:val="0"/>
              <w:numId w:val="5"/>
            </w:numPr>
            <w:spacing w:after="0" w:before="0" w:line="240" w:lineRule="auto"/>
            <w:ind w:left="72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Estratégia de Extração de Informação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spacing w:after="0" w:before="0" w:line="240" w:lineRule="auto"/>
            <w:ind w:left="720" w:firstLine="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Inicialmente, serão analisados e considerados os seguintes itens: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numPr>
              <w:ilvl w:val="1"/>
              <w:numId w:val="5"/>
            </w:numPr>
            <w:spacing w:after="0" w:before="0" w:lineRule="auto"/>
            <w:ind w:left="144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Titulo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numPr>
              <w:ilvl w:val="1"/>
              <w:numId w:val="5"/>
            </w:numPr>
            <w:spacing w:after="0" w:before="0" w:lineRule="auto"/>
            <w:ind w:left="144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Resumo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numPr>
              <w:ilvl w:val="1"/>
              <w:numId w:val="5"/>
            </w:numPr>
            <w:spacing w:after="0" w:before="0" w:lineRule="auto"/>
            <w:ind w:left="1440" w:hanging="36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Palavra-chave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Posteriormente, serão extraídas as seguintes informações: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numPr>
              <w:ilvl w:val="1"/>
              <w:numId w:val="3"/>
            </w:numPr>
            <w:tabs>
              <w:tab w:val="left" w:pos="709"/>
            </w:tabs>
            <w:spacing w:after="0" w:before="0" w:lineRule="auto"/>
            <w:ind w:left="1440" w:hanging="36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Título: o título do trabalho;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numPr>
              <w:ilvl w:val="1"/>
              <w:numId w:val="3"/>
            </w:numPr>
            <w:tabs>
              <w:tab w:val="left" w:pos="709"/>
            </w:tabs>
            <w:spacing w:after="0" w:before="0" w:lineRule="auto"/>
            <w:ind w:left="1440" w:hanging="36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Autor(es): o(s) autor(es) do trabalho;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numPr>
              <w:ilvl w:val="1"/>
              <w:numId w:val="3"/>
            </w:numPr>
            <w:tabs>
              <w:tab w:val="left" w:pos="709"/>
            </w:tabs>
            <w:spacing w:after="0" w:before="0" w:lineRule="auto"/>
            <w:ind w:left="1440" w:hanging="36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Palavras-Chave: palavras-chaves do trabalho;</w:t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numPr>
              <w:ilvl w:val="1"/>
              <w:numId w:val="3"/>
            </w:numPr>
            <w:tabs>
              <w:tab w:val="left" w:pos="709"/>
            </w:tabs>
            <w:spacing w:after="0" w:before="0" w:lineRule="auto"/>
            <w:ind w:left="1440" w:hanging="36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Fonte: onde o trabalho foi publicado;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numPr>
              <w:ilvl w:val="1"/>
              <w:numId w:val="3"/>
            </w:numPr>
            <w:tabs>
              <w:tab w:val="left" w:pos="709"/>
            </w:tabs>
            <w:spacing w:after="0" w:before="0" w:lineRule="auto"/>
            <w:ind w:left="1440" w:hanging="36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Ano de publicação: ano de publicação do trabalho;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numPr>
              <w:ilvl w:val="1"/>
              <w:numId w:val="3"/>
            </w:numPr>
            <w:tabs>
              <w:tab w:val="left" w:pos="709"/>
            </w:tabs>
            <w:spacing w:after="0" w:before="0" w:lineRule="auto"/>
            <w:ind w:left="1440" w:hanging="36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Tipo de trabalho: artigo, revisão, paper de conferência e outros.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numPr>
              <w:ilvl w:val="1"/>
              <w:numId w:val="3"/>
            </w:numPr>
            <w:tabs>
              <w:tab w:val="left" w:pos="709"/>
            </w:tabs>
            <w:spacing w:after="0" w:before="0" w:lineRule="auto"/>
            <w:ind w:left="1440" w:hanging="36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Tipo de estudo: por exemplo, estudo de caso, experimento, relatório de experiência, pesquisa de opinião, dentre outros;</w:t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numPr>
              <w:ilvl w:val="1"/>
              <w:numId w:val="3"/>
            </w:numPr>
            <w:tabs>
              <w:tab w:val="left" w:pos="709"/>
            </w:tabs>
            <w:spacing w:after="0" w:before="0" w:lineRule="auto"/>
            <w:ind w:left="1440" w:hanging="36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Resumo: uma breve descrição do estudo;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numPr>
              <w:ilvl w:val="1"/>
              <w:numId w:val="3"/>
            </w:numPr>
            <w:tabs>
              <w:tab w:val="left" w:pos="709"/>
            </w:tabs>
            <w:spacing w:after="0" w:before="0" w:lineRule="auto"/>
            <w:ind w:left="1440" w:hanging="36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Subárea(s) de pesquisa ao qual o trabalho está vinculado;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numPr>
              <w:ilvl w:val="1"/>
              <w:numId w:val="3"/>
            </w:numPr>
            <w:tabs>
              <w:tab w:val="left" w:pos="709"/>
            </w:tabs>
            <w:spacing w:after="0" w:before="0" w:lineRule="auto"/>
            <w:ind w:left="1440" w:hanging="36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Comentários: observações gerais sobre o estudo, caso haja.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spacing w:after="0" w:before="0" w:line="240" w:lineRule="auto"/>
            <w:ind w:firstLine="0"/>
            <w:rPr>
              <w:rFonts w:ascii="Arial" w:cs="Arial" w:eastAsia="Arial" w:hAnsi="Arial"/>
              <w:color w:val="ff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numPr>
              <w:ilvl w:val="0"/>
              <w:numId w:val="5"/>
            </w:numPr>
            <w:spacing w:after="0" w:before="0" w:line="240" w:lineRule="auto"/>
            <w:ind w:left="720" w:hanging="360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String de Busca: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spacing w:after="0" w:before="0" w:line="240" w:lineRule="auto"/>
            <w:ind w:left="720" w:firstLine="0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tabs>
              <w:tab w:val="left" w:pos="709"/>
            </w:tabs>
            <w:spacing w:after="0" w:before="0" w:lineRule="auto"/>
            <w:ind w:firstLine="709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As </w:t>
          </w:r>
          <w:r w:rsidDel="00000000" w:rsidR="00000000" w:rsidRPr="00000000">
            <w:rPr>
              <w:rFonts w:ascii="Arial" w:cs="Arial" w:eastAsia="Arial" w:hAnsi="Arial"/>
              <w:i w:val="1"/>
              <w:color w:val="00000a"/>
              <w:rtl w:val="0"/>
            </w:rPr>
            <w:t xml:space="preserve">strings</w:t>
          </w: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 de busca foram definidas a partir das questões de pesquisa e do padrão, conforme a estrutura abaixo:</w:t>
          </w:r>
        </w:p>
      </w:sdtContent>
    </w:sdt>
    <w:tbl>
      <w:tblPr>
        <w:tblStyle w:val="Table2"/>
        <w:tblW w:w="572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21"/>
        <w:tblGridChange w:id="0">
          <w:tblGrid>
            <w:gridCol w:w="5721"/>
          </w:tblGrid>
        </w:tblGridChange>
      </w:tblGrid>
      <w:tr>
        <w:tc>
          <w:tcPr>
            <w:vAlign w:val="cente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spacing w:after="0" w:before="0" w:line="240" w:lineRule="auto"/>
                  <w:ind w:firstLine="0"/>
                  <w:rPr>
                    <w:rFonts w:ascii="Arial" w:cs="Arial" w:eastAsia="Arial" w:hAnsi="Arial"/>
                    <w:color w:val="00000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a"/>
                    <w:sz w:val="20"/>
                    <w:szCs w:val="20"/>
                    <w:rtl w:val="0"/>
                  </w:rPr>
                  <w:t xml:space="preserve">Publicações científicas relacionadas à produção de </w:t>
                </w:r>
                <w:r w:rsidDel="00000000" w:rsidR="00000000" w:rsidRPr="00000000">
                  <w:rPr>
                    <w:rFonts w:ascii="Arial" w:cs="Arial" w:eastAsia="Arial" w:hAnsi="Arial"/>
                    <w:i w:val="1"/>
                    <w:color w:val="00000a"/>
                    <w:sz w:val="20"/>
                    <w:szCs w:val="20"/>
                    <w:rtl w:val="0"/>
                  </w:rPr>
                  <w:t xml:space="preserve">jogos educativos voltados a pensamento computacional e disciplinas extracurriculares.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vAlign w:val="cente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tabs>
                    <w:tab w:val="left" w:pos="709"/>
                  </w:tabs>
                  <w:spacing w:after="0" w:before="0" w:line="240" w:lineRule="auto"/>
                  <w:ind w:firstLine="0"/>
                  <w:rPr>
                    <w:rFonts w:ascii="Arial" w:cs="Arial" w:eastAsia="Arial" w:hAnsi="Arial"/>
                    <w:color w:val="00000a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a"/>
                    <w:sz w:val="20"/>
                    <w:szCs w:val="20"/>
                    <w:rtl w:val="0"/>
                  </w:rPr>
                  <w:t xml:space="preserve">Identificar ferramentas, métricas e as formas de estimular o pensamento computacional.</w:t>
                </w:r>
              </w:p>
            </w:sdtContent>
          </w:sdt>
        </w:tc>
      </w:tr>
    </w:tbl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tabs>
              <w:tab w:val="left" w:pos="709"/>
            </w:tabs>
            <w:spacing w:after="0" w:before="0" w:lineRule="auto"/>
            <w:ind w:firstLine="709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numPr>
              <w:ilvl w:val="0"/>
              <w:numId w:val="4"/>
            </w:numPr>
            <w:spacing w:after="0" w:before="0" w:lineRule="auto"/>
            <w:ind w:left="714" w:hanging="357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a"/>
              <w:rtl w:val="0"/>
            </w:rPr>
            <w:t xml:space="preserve">População:</w:t>
          </w: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 usuários em </w:t>
          </w:r>
          <w:r w:rsidDel="00000000" w:rsidR="00000000" w:rsidRPr="00000000">
            <w:rPr>
              <w:rFonts w:ascii="Arial" w:cs="Arial" w:eastAsia="Arial" w:hAnsi="Arial"/>
              <w:i w:val="1"/>
              <w:color w:val="00000a"/>
              <w:rtl w:val="0"/>
            </w:rPr>
            <w:t xml:space="preserve">Ambiente de aprendizagem.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numPr>
              <w:ilvl w:val="0"/>
              <w:numId w:val="4"/>
            </w:numPr>
            <w:spacing w:after="0" w:before="0" w:lineRule="auto"/>
            <w:ind w:left="714" w:hanging="357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a"/>
              <w:rtl w:val="0"/>
            </w:rPr>
            <w:t xml:space="preserve">Intervenção:</w:t>
          </w: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 tecnologias que auxiliem na aprendizagem do usuário, métricas e formas de estimular o pensamento computacional utilizadas no processo de produção de jogos educacionais.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numPr>
              <w:ilvl w:val="0"/>
              <w:numId w:val="4"/>
            </w:numPr>
            <w:spacing w:after="0" w:before="0" w:lineRule="auto"/>
            <w:ind w:left="714" w:hanging="357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a"/>
              <w:rtl w:val="0"/>
            </w:rPr>
            <w:t xml:space="preserve">Comparação: </w:t>
          </w: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Métricas utilizadas na produção dos jogos analisados.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numPr>
              <w:ilvl w:val="0"/>
              <w:numId w:val="4"/>
            </w:numPr>
            <w:spacing w:after="0" w:before="0" w:lineRule="auto"/>
            <w:ind w:left="714" w:hanging="357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a"/>
              <w:rtl w:val="0"/>
            </w:rPr>
            <w:t xml:space="preserve">Resultados:</w:t>
          </w: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 relação de jogos educativos voltados ao pensamento computacional e a disciplinas extracurriculares, aplicados em </w:t>
          </w:r>
          <w:r w:rsidDel="00000000" w:rsidR="00000000" w:rsidRPr="00000000">
            <w:rPr>
              <w:rFonts w:ascii="Arial" w:cs="Arial" w:eastAsia="Arial" w:hAnsi="Arial"/>
              <w:i w:val="1"/>
              <w:color w:val="00000a"/>
              <w:rtl w:val="0"/>
            </w:rPr>
            <w:t xml:space="preserve">ambiente de aprendizagem</w:t>
          </w: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, juntamente com a identificação de métricas 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(Conceitos e critérios de desenvolvimento)</w:t>
          </w: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 e formas de estimular o pensamento computacional no processo de desenvolvimento do usuário.</w:t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spacing w:after="0" w:before="0" w:line="240" w:lineRule="auto"/>
            <w:ind w:left="360" w:firstLine="0"/>
            <w:rPr>
              <w:rFonts w:ascii="Arial" w:cs="Arial" w:eastAsia="Arial" w:hAnsi="Arial"/>
              <w:b w:val="1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tabs>
              <w:tab w:val="left" w:pos="709"/>
            </w:tabs>
            <w:spacing w:after="0" w:before="0" w:line="240" w:lineRule="auto"/>
            <w:ind w:firstLine="426"/>
            <w:rPr>
              <w:rFonts w:ascii="Arial" w:cs="Arial" w:eastAsia="Arial" w:hAnsi="Arial"/>
              <w:b w:val="1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tabs>
              <w:tab w:val="left" w:pos="709"/>
            </w:tabs>
            <w:spacing w:after="0" w:before="0" w:line="240" w:lineRule="auto"/>
            <w:ind w:firstLine="426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a"/>
              <w:rtl w:val="0"/>
            </w:rPr>
            <w:t xml:space="preserve">String de Busca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tabs>
              <w:tab w:val="left" w:pos="709"/>
            </w:tabs>
            <w:spacing w:after="0" w:before="0" w:line="240" w:lineRule="auto"/>
            <w:ind w:firstLine="0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spacing w:after="0" w:before="0" w:lineRule="auto"/>
            <w:ind w:firstLine="709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 ("pensamento computacional") </w:t>
          </w:r>
          <w:r w:rsidDel="00000000" w:rsidR="00000000" w:rsidRPr="00000000">
            <w:rPr>
              <w:rFonts w:ascii="Arial" w:cs="Arial" w:eastAsia="Arial" w:hAnsi="Arial"/>
              <w:b w:val="1"/>
              <w:color w:val="00000a"/>
              <w:rtl w:val="0"/>
            </w:rPr>
            <w:t xml:space="preserve">AND</w:t>
          </w:r>
          <w:r w:rsidDel="00000000" w:rsidR="00000000" w:rsidRPr="00000000">
            <w:rPr>
              <w:rFonts w:ascii="Arial" w:cs="Arial" w:eastAsia="Arial" w:hAnsi="Arial"/>
              <w:color w:val="00000a"/>
              <w:rtl w:val="0"/>
            </w:rPr>
            <w:t xml:space="preserve"> (“jogos educacionais”)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spacing w:after="0" w:before="0" w:lineRule="auto"/>
            <w:ind w:left="72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tabs>
              <w:tab w:val="left" w:pos="709"/>
            </w:tabs>
            <w:spacing w:after="0" w:before="0" w:lineRule="auto"/>
            <w:ind w:firstLine="709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tabs>
              <w:tab w:val="left" w:pos="709"/>
            </w:tabs>
            <w:spacing w:after="0" w:before="0" w:lineRule="auto"/>
            <w:ind w:left="720" w:firstLine="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tabs>
              <w:tab w:val="left" w:pos="709"/>
            </w:tabs>
            <w:spacing w:after="0" w:before="0" w:lineRule="auto"/>
            <w:ind w:firstLine="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tabs>
              <w:tab w:val="left" w:pos="709"/>
            </w:tabs>
            <w:spacing w:after="0" w:before="0" w:lineRule="auto"/>
            <w:ind w:firstLine="0"/>
            <w:jc w:val="left"/>
            <w:rPr>
              <w:rFonts w:ascii="Arial" w:cs="Arial" w:eastAsia="Arial" w:hAnsi="Arial"/>
              <w:color w:val="00000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ind w:firstLine="0"/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  <w:sz w:val="24"/>
        <w:szCs w:val="24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  <w:sz w:val="24"/>
        <w:szCs w:val="24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b w:val="0"/>
        <w:sz w:val="24"/>
        <w:szCs w:val="24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b w:val="0"/>
        <w:sz w:val="24"/>
        <w:szCs w:val="24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b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b w:val="0"/>
        <w:sz w:val="24"/>
        <w:szCs w:val="24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b w:val="0"/>
        <w:sz w:val="24"/>
        <w:szCs w:val="24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b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b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120" w:before="120"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746D"/>
    <w:pPr>
      <w:overflowPunct w:val="0"/>
      <w:autoSpaceDE w:val="0"/>
      <w:spacing w:after="120" w:before="120" w:line="360" w:lineRule="auto"/>
      <w:ind w:firstLine="851"/>
      <w:jc w:val="both"/>
      <w:textAlignment w:val="baseline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8746D"/>
    <w:pPr>
      <w:ind w:left="720"/>
      <w:contextualSpacing w:val="1"/>
    </w:pPr>
  </w:style>
  <w:style w:type="character" w:styleId="Hyperlink">
    <w:name w:val="Hyperlink"/>
    <w:uiPriority w:val="99"/>
    <w:rsid w:val="003745DF"/>
    <w:rPr>
      <w:color w:val="auto"/>
      <w:u w:val="non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3745D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br-ie.org/pub/index.php/sbie/index" TargetMode="External"/><Relationship Id="rId8" Type="http://schemas.openxmlformats.org/officeDocument/2006/relationships/hyperlink" Target="https://www.br-ie.org/pub/index.php/rbi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5e7EgMOQe8xZQSjmM8Jqs2HJg==">AMUW2mVRjuz1MYdqQuhVkntlblD3dREzKzVyRGZmlzjrhzNw59MeMA0NVX8KThHSDWzSlAz2CJrb4fb8pRauSbUNF/6Gs8/rnt120BcSE8AYTteIUo2RW4k7mlvDg190lJz1BYErhmrP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2019-06-04T23:39:00Z</dcterms:created>
  <dc:creator>JB</dc:creator>
</cp:coreProperties>
</file>