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Adani Enterprises Ltd: Valuation Summary</w:t>
      </w:r>
    </w:p>
    <w:p>
      <w:r>
        <w:rPr>
          <w:i/>
        </w:rPr>
        <w:t>Basis: audited-style annual data FY17–FY26 (Screener.in extract, ₹ Crore), five-year forecast FY27E–FY31E, valuation date 31 March 2026.</w:t>
      </w:r>
    </w:p>
    <w:p>
      <w:pPr>
        <w:pStyle w:val="Heading1"/>
      </w:pPr>
      <w:r>
        <w:t>Valuation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Enterprise value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₹-39,795 Cr</w:t>
            </w:r>
          </w:p>
        </w:tc>
      </w:tr>
      <w:tr>
        <w:tc>
          <w:tcPr>
            <w:tcW w:type="dxa" w:w="4320"/>
          </w:tcPr>
          <w:p>
            <w:r>
              <w:t>Equity value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₹-134,607 Cr</w:t>
            </w:r>
          </w:p>
        </w:tc>
      </w:tr>
      <w:tr>
        <w:tc>
          <w:tcPr>
            <w:tcW w:type="dxa" w:w="4320"/>
          </w:tcPr>
          <w:p>
            <w:r>
              <w:t>Implied value per share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₹-1,042.17</w:t>
            </w:r>
          </w:p>
        </w:tc>
      </w:tr>
      <w:tr>
        <w:tc>
          <w:tcPr>
            <w:tcW w:type="dxa" w:w="4320"/>
          </w:tcPr>
          <w:p>
            <w:r>
              <w:t>Current market price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₹2,668.90</w:t>
            </w:r>
          </w:p>
        </w:tc>
      </w:tr>
      <w:tr>
        <w:tc>
          <w:tcPr>
            <w:tcW w:type="dxa" w:w="4320"/>
          </w:tcPr>
          <w:p>
            <w:r>
              <w:t>Upside / (downside)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-139.0%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12.6%</w:t>
            </w:r>
          </w:p>
        </w:tc>
      </w:tr>
      <w:tr>
        <w:tc>
          <w:tcPr>
            <w:tcW w:type="dxa" w:w="4320"/>
          </w:tcPr>
          <w:p>
            <w:r>
              <w:t>Terminal growth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5.0%</w:t>
            </w:r>
          </w:p>
        </w:tc>
      </w:tr>
      <w:tr>
        <w:tc>
          <w:tcPr>
            <w:tcW w:type="dxa" w:w="4320"/>
          </w:tcPr>
          <w:p>
            <w:r>
              <w:t>Terminal value share of EV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-29.6%</w:t>
            </w:r>
          </w:p>
        </w:tc>
      </w:tr>
    </w:tbl>
    <w:p>
      <w:pPr>
        <w:pStyle w:val="Heading1"/>
      </w:pPr>
      <w:r>
        <w:t>Financial trajectory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₹ Crore</w:t>
            </w:r>
          </w:p>
        </w:tc>
        <w:tc>
          <w:tcPr>
            <w:tcW w:type="dxa" w:w="1234"/>
          </w:tcPr>
          <w:p>
            <w:r>
              <w:t>FY26</w:t>
            </w:r>
          </w:p>
        </w:tc>
        <w:tc>
          <w:tcPr>
            <w:tcW w:type="dxa" w:w="1234"/>
          </w:tcPr>
          <w:p>
            <w:r>
              <w:t>FY27E</w:t>
            </w:r>
          </w:p>
        </w:tc>
        <w:tc>
          <w:tcPr>
            <w:tcW w:type="dxa" w:w="1234"/>
          </w:tcPr>
          <w:p>
            <w:r>
              <w:t>FY28E</w:t>
            </w:r>
          </w:p>
        </w:tc>
        <w:tc>
          <w:tcPr>
            <w:tcW w:type="dxa" w:w="1234"/>
          </w:tcPr>
          <w:p>
            <w:r>
              <w:t>FY29E</w:t>
            </w:r>
          </w:p>
        </w:tc>
        <w:tc>
          <w:tcPr>
            <w:tcW w:type="dxa" w:w="1234"/>
          </w:tcPr>
          <w:p>
            <w:r>
              <w:t>FY30E</w:t>
            </w:r>
          </w:p>
        </w:tc>
        <w:tc>
          <w:tcPr>
            <w:tcW w:type="dxa" w:w="1234"/>
          </w:tcPr>
          <w:p>
            <w:r>
              <w:t>FY31E</w:t>
            </w:r>
          </w:p>
        </w:tc>
      </w:tr>
      <w:tr>
        <w:tc>
          <w:tcPr>
            <w:tcW w:type="dxa" w:w="1234"/>
          </w:tcPr>
          <w:p>
            <w:r>
              <w:t>Sales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100,469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105,492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111,822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119,649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128,025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136,986</w:t>
            </w:r>
          </w:p>
        </w:tc>
      </w:tr>
      <w:tr>
        <w:tc>
          <w:tcPr>
            <w:tcW w:type="dxa" w:w="1234"/>
          </w:tcPr>
          <w:p>
            <w:r>
              <w:t>EBITDA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13,991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14,663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15,543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16,631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17,795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19,041</w:t>
            </w:r>
          </w:p>
        </w:tc>
      </w:tr>
      <w:tr>
        <w:tc>
          <w:tcPr>
            <w:tcW w:type="dxa" w:w="1234"/>
          </w:tcPr>
          <w:p>
            <w:r>
              <w:t>Net profit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9,339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2,625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1,370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298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-506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-1,042</w:t>
            </w:r>
          </w:p>
        </w:tc>
      </w:tr>
      <w:tr>
        <w:tc>
          <w:tcPr>
            <w:tcW w:type="dxa" w:w="1234"/>
          </w:tcPr>
          <w:p>
            <w:r>
              <w:t>Net debt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94,812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109,397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125,456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143,173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162,372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182,873</w:t>
            </w:r>
          </w:p>
        </w:tc>
      </w:tr>
      <w:tr>
        <w:tc>
          <w:tcPr>
            <w:tcW w:type="dxa" w:w="1234"/>
          </w:tcPr>
          <w:p>
            <w:r>
              <w:t>EPS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72.3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20.3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2.3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-3.9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-8.1</w:t>
            </w:r>
          </w:p>
        </w:tc>
      </w:tr>
    </w:tbl>
    <w:p>
      <w:pPr>
        <w:pStyle w:val="Heading1"/>
      </w:pPr>
      <w:r>
        <w:t>Key assumptions</w:t>
      </w:r>
    </w:p>
    <w:p>
      <w:pPr>
        <w:pStyle w:val="ListBullet"/>
      </w:pPr>
      <w:r>
        <w:t>Sales growth of 5–7% a year from FY27E.</w:t>
      </w:r>
    </w:p>
    <w:p>
      <w:pPr>
        <w:pStyle w:val="ListBullet"/>
      </w:pPr>
      <w:r>
        <w:t>EBITDA margin held at about 14%, close to FY26.</w:t>
      </w:r>
    </w:p>
    <w:p>
      <w:pPr>
        <w:pStyle w:val="ListBullet"/>
      </w:pPr>
      <w:r>
        <w:t>Capex at 25% of sales, funded partly by ₹10,000–25,000 Cr of new borrowing each year.</w:t>
      </w:r>
    </w:p>
    <w:p>
      <w:pPr>
        <w:pStyle w:val="ListBullet"/>
      </w:pPr>
      <w:r>
        <w:t>Cost of equity 14.3% (beta 1.2); after-tax cost of debt about 4.7%.</w:t>
      </w:r>
    </w:p>
    <w:p>
      <w:pPr>
        <w:pStyle w:val="ListBullet"/>
      </w:pPr>
      <w:r>
        <w:t>Terminal growth 5%; return on new invested capital 10%.</w:t>
      </w:r>
    </w:p>
    <w:p>
      <w:pPr>
        <w:pStyle w:val="Heading1"/>
      </w:pPr>
      <w:r>
        <w:t>Interpretation</w:t>
      </w:r>
    </w:p>
    <w:p>
      <w:r>
        <w:t>Forecast capex exceeds operating cash flow in every year, so free cash flow is negative throughout the forecast and the sum of discounted cash flows is negative.</w:t>
      </w:r>
    </w:p>
    <w:p>
      <w:r>
        <w:t>The negative equity value is a result of this capex plan. It reflects that the growth investments have not yet produced returns in the forecast period; it is not a conclusion about the company’s long-term prospects.</w:t>
      </w:r>
    </w:p>
    <w:p>
      <w:pPr>
        <w:pStyle w:val="Heading1"/>
      </w:pPr>
      <w:r>
        <w:t>Sensitivity</w:t>
      </w:r>
    </w:p>
    <w:p>
      <w:r>
        <w:t>Implied value per share (₹) across WACC (rows) and terminal growth (columns):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WACC \ g</w:t>
            </w:r>
          </w:p>
        </w:tc>
        <w:tc>
          <w:tcPr>
            <w:tcW w:type="dxa" w:w="1440"/>
          </w:tcPr>
          <w:p>
            <w:r>
              <w:t>4.0%</w:t>
            </w:r>
          </w:p>
        </w:tc>
        <w:tc>
          <w:tcPr>
            <w:tcW w:type="dxa" w:w="1440"/>
          </w:tcPr>
          <w:p>
            <w:r>
              <w:t>4.5%</w:t>
            </w:r>
          </w:p>
        </w:tc>
        <w:tc>
          <w:tcPr>
            <w:tcW w:type="dxa" w:w="1440"/>
          </w:tcPr>
          <w:p>
            <w:r>
              <w:t>5.0%</w:t>
            </w:r>
          </w:p>
        </w:tc>
        <w:tc>
          <w:tcPr>
            <w:tcW w:type="dxa" w:w="1440"/>
          </w:tcPr>
          <w:p>
            <w:r>
              <w:t>5.5%</w:t>
            </w:r>
          </w:p>
        </w:tc>
        <w:tc>
          <w:tcPr>
            <w:tcW w:type="dxa" w:w="1440"/>
          </w:tcPr>
          <w:p>
            <w:r>
              <w:t>6.0%</w:t>
            </w:r>
          </w:p>
        </w:tc>
      </w:tr>
      <w:tr>
        <w:tc>
          <w:tcPr>
            <w:tcW w:type="dxa" w:w="1440"/>
          </w:tcPr>
          <w:p>
            <w:r>
              <w:t>11.6%</w:t>
            </w:r>
          </w:p>
        </w:tc>
        <w:tc>
          <w:tcPr>
            <w:tcW w:type="dxa" w:w="1440"/>
          </w:tcPr>
          <w:p>
            <w:r>
              <w:t>-1,030</w:t>
            </w:r>
          </w:p>
        </w:tc>
        <w:tc>
          <w:tcPr>
            <w:tcW w:type="dxa" w:w="1440"/>
          </w:tcPr>
          <w:p>
            <w:r>
              <w:t>-1,032</w:t>
            </w:r>
          </w:p>
        </w:tc>
        <w:tc>
          <w:tcPr>
            <w:tcW w:type="dxa" w:w="1440"/>
          </w:tcPr>
          <w:p>
            <w:r>
              <w:t>-1,034</w:t>
            </w:r>
          </w:p>
        </w:tc>
        <w:tc>
          <w:tcPr>
            <w:tcW w:type="dxa" w:w="1440"/>
          </w:tcPr>
          <w:p>
            <w:r>
              <w:t>-1,036</w:t>
            </w:r>
          </w:p>
        </w:tc>
        <w:tc>
          <w:tcPr>
            <w:tcW w:type="dxa" w:w="1440"/>
          </w:tcPr>
          <w:p>
            <w:r>
              <w:t>-1,039</w:t>
            </w:r>
          </w:p>
        </w:tc>
      </w:tr>
      <w:tr>
        <w:tc>
          <w:tcPr>
            <w:tcW w:type="dxa" w:w="1440"/>
          </w:tcPr>
          <w:p>
            <w:r>
              <w:t>12.1%</w:t>
            </w:r>
          </w:p>
        </w:tc>
        <w:tc>
          <w:tcPr>
            <w:tcW w:type="dxa" w:w="1440"/>
          </w:tcPr>
          <w:p>
            <w:r>
              <w:t>-1,035</w:t>
            </w:r>
          </w:p>
        </w:tc>
        <w:tc>
          <w:tcPr>
            <w:tcW w:type="dxa" w:w="1440"/>
          </w:tcPr>
          <w:p>
            <w:r>
              <w:t>-1,036</w:t>
            </w:r>
          </w:p>
        </w:tc>
        <w:tc>
          <w:tcPr>
            <w:tcW w:type="dxa" w:w="1440"/>
          </w:tcPr>
          <w:p>
            <w:r>
              <w:t>-1,039</w:t>
            </w:r>
          </w:p>
        </w:tc>
        <w:tc>
          <w:tcPr>
            <w:tcW w:type="dxa" w:w="1440"/>
          </w:tcPr>
          <w:p>
            <w:r>
              <w:t>-1,041</w:t>
            </w:r>
          </w:p>
        </w:tc>
        <w:tc>
          <w:tcPr>
            <w:tcW w:type="dxa" w:w="1440"/>
          </w:tcPr>
          <w:p>
            <w:r>
              <w:t>-1,045</w:t>
            </w:r>
          </w:p>
        </w:tc>
      </w:tr>
      <w:tr>
        <w:tc>
          <w:tcPr>
            <w:tcW w:type="dxa" w:w="1440"/>
          </w:tcPr>
          <w:p>
            <w:r>
              <w:t>12.6%</w:t>
            </w:r>
          </w:p>
        </w:tc>
        <w:tc>
          <w:tcPr>
            <w:tcW w:type="dxa" w:w="1440"/>
          </w:tcPr>
          <w:p>
            <w:r>
              <w:t>-1,038</w:t>
            </w:r>
          </w:p>
        </w:tc>
        <w:tc>
          <w:tcPr>
            <w:tcW w:type="dxa" w:w="1440"/>
          </w:tcPr>
          <w:p>
            <w:r>
              <w:t>-1,040</w:t>
            </w:r>
          </w:p>
        </w:tc>
        <w:tc>
          <w:tcPr>
            <w:tcW w:type="dxa" w:w="1440"/>
          </w:tcPr>
          <w:p>
            <w:r>
              <w:t>-1,042</w:t>
            </w:r>
          </w:p>
        </w:tc>
        <w:tc>
          <w:tcPr>
            <w:tcW w:type="dxa" w:w="1440"/>
          </w:tcPr>
          <w:p>
            <w:r>
              <w:t>-1,045</w:t>
            </w:r>
          </w:p>
        </w:tc>
        <w:tc>
          <w:tcPr>
            <w:tcW w:type="dxa" w:w="1440"/>
          </w:tcPr>
          <w:p>
            <w:r>
              <w:t>-1,049</w:t>
            </w:r>
          </w:p>
        </w:tc>
      </w:tr>
      <w:tr>
        <w:tc>
          <w:tcPr>
            <w:tcW w:type="dxa" w:w="1440"/>
          </w:tcPr>
          <w:p>
            <w:r>
              <w:t>13.1%</w:t>
            </w:r>
          </w:p>
        </w:tc>
        <w:tc>
          <w:tcPr>
            <w:tcW w:type="dxa" w:w="1440"/>
          </w:tcPr>
          <w:p>
            <w:r>
              <w:t>-1,040</w:t>
            </w:r>
          </w:p>
        </w:tc>
        <w:tc>
          <w:tcPr>
            <w:tcW w:type="dxa" w:w="1440"/>
          </w:tcPr>
          <w:p>
            <w:r>
              <w:t>-1,042</w:t>
            </w:r>
          </w:p>
        </w:tc>
        <w:tc>
          <w:tcPr>
            <w:tcW w:type="dxa" w:w="1440"/>
          </w:tcPr>
          <w:p>
            <w:r>
              <w:t>-1,045</w:t>
            </w:r>
          </w:p>
        </w:tc>
        <w:tc>
          <w:tcPr>
            <w:tcW w:type="dxa" w:w="1440"/>
          </w:tcPr>
          <w:p>
            <w:r>
              <w:t>-1,048</w:t>
            </w:r>
          </w:p>
        </w:tc>
        <w:tc>
          <w:tcPr>
            <w:tcW w:type="dxa" w:w="1440"/>
          </w:tcPr>
          <w:p>
            <w:r>
              <w:t>-1,051</w:t>
            </w:r>
          </w:p>
        </w:tc>
      </w:tr>
      <w:tr>
        <w:tc>
          <w:tcPr>
            <w:tcW w:type="dxa" w:w="1440"/>
          </w:tcPr>
          <w:p>
            <w:r>
              <w:t>13.6%</w:t>
            </w:r>
          </w:p>
        </w:tc>
        <w:tc>
          <w:tcPr>
            <w:tcW w:type="dxa" w:w="1440"/>
          </w:tcPr>
          <w:p>
            <w:r>
              <w:t>-1,041</w:t>
            </w:r>
          </w:p>
        </w:tc>
        <w:tc>
          <w:tcPr>
            <w:tcW w:type="dxa" w:w="1440"/>
          </w:tcPr>
          <w:p>
            <w:r>
              <w:t>-1,044</w:t>
            </w:r>
          </w:p>
        </w:tc>
        <w:tc>
          <w:tcPr>
            <w:tcW w:type="dxa" w:w="1440"/>
          </w:tcPr>
          <w:p>
            <w:r>
              <w:t>-1,046</w:t>
            </w:r>
          </w:p>
        </w:tc>
        <w:tc>
          <w:tcPr>
            <w:tcW w:type="dxa" w:w="1440"/>
          </w:tcPr>
          <w:p>
            <w:r>
              <w:t>-1,049</w:t>
            </w:r>
          </w:p>
        </w:tc>
        <w:tc>
          <w:tcPr>
            <w:tcW w:type="dxa" w:w="1440"/>
          </w:tcPr>
          <w:p>
            <w:r>
              <w:t>-1,053</w:t>
            </w:r>
          </w:p>
        </w:tc>
      </w:tr>
    </w:tbl>
    <w:p>
      <w:pPr>
        <w:pStyle w:val="Heading1"/>
      </w:pPr>
      <w:r>
        <w:t>Limitations</w:t>
      </w:r>
    </w:p>
    <w:p>
      <w:pPr>
        <w:pStyle w:val="ListBullet"/>
      </w:pPr>
      <w:r>
        <w:t>Minority interests are not deducted, as the source data does not report them separately.</w:t>
      </w:r>
    </w:p>
    <w:p>
      <w:pPr>
        <w:pStyle w:val="ListBullet"/>
      </w:pPr>
      <w:r>
        <w:t>Risk-free rate, equity risk premium and beta are assumptions and have not been checked against current market data.</w:t>
      </w:r>
    </w:p>
    <w:p>
      <w:pPr>
        <w:pStyle w:val="ListBullet"/>
      </w:pPr>
      <w:r>
        <w:t>Cash flows are discounted at year-end, not mid-year.</w:t>
      </w:r>
    </w:p>
    <w:p>
      <w:pPr>
        <w:pStyle w:val="ListBullet"/>
      </w:pPr>
      <w:r>
        <w:t>Adani Enterprises is a holding company; the valuation does not split out listed subsidiaries or infrastructure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