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Reliance Industries Ltd: Valuation Summary</w:t>
      </w:r>
    </w:p>
    <w:p>
      <w:r>
        <w:rPr>
          <w:i/>
        </w:rPr>
        <w:t>Basis: audited-style annual data FY17–FY26 (Screener.in extract, ₹ Crore), five-year forecast FY27E–FY31E, valuation date 31 March 2026.</w:t>
      </w:r>
    </w:p>
    <w:p>
      <w:pPr>
        <w:pStyle w:val="Heading1"/>
      </w:pPr>
      <w:r>
        <w:t>Valuation result</w:t>
      </w:r>
    </w:p>
    <w:tbl>
      <w:tblPr>
        <w:tblStyle w:val="LightGrid-Accent1"/>
        <w:tblW w:type="auto" w:w="0"/>
        <w:tblLook w:firstColumn="1" w:firstRow="1" w:lastColumn="0" w:lastRow="0" w:noHBand="0" w:noVBand="1" w:val="04A0"/>
      </w:tblPr>
      <w:tblGrid>
        <w:gridCol w:w="4320"/>
        <w:gridCol w:w="4320"/>
      </w:tblGrid>
      <w:tr>
        <w:tc>
          <w:tcPr>
            <w:tcW w:type="dxa" w:w="4320"/>
          </w:tcPr>
          <w:p>
            <w:r>
              <w:t>Enterprise value</w:t>
            </w:r>
          </w:p>
        </w:tc>
        <w:tc>
          <w:tcPr>
            <w:tcW w:type="dxa" w:w="4320"/>
          </w:tcPr>
          <w:p>
            <w:pPr>
              <w:jc w:val="right"/>
            </w:pPr>
            <w:r>
              <w:t>₹738,784 Cr</w:t>
            </w:r>
          </w:p>
        </w:tc>
      </w:tr>
      <w:tr>
        <w:tc>
          <w:tcPr>
            <w:tcW w:type="dxa" w:w="4320"/>
          </w:tcPr>
          <w:p>
            <w:r>
              <w:t>Equity value</w:t>
            </w:r>
          </w:p>
        </w:tc>
        <w:tc>
          <w:tcPr>
            <w:tcW w:type="dxa" w:w="4320"/>
          </w:tcPr>
          <w:p>
            <w:pPr>
              <w:jc w:val="right"/>
            </w:pPr>
            <w:r>
              <w:t>₹481,799 Cr</w:t>
            </w:r>
          </w:p>
        </w:tc>
      </w:tr>
      <w:tr>
        <w:tc>
          <w:tcPr>
            <w:tcW w:type="dxa" w:w="4320"/>
          </w:tcPr>
          <w:p>
            <w:r>
              <w:t>Implied value per share</w:t>
            </w:r>
          </w:p>
        </w:tc>
        <w:tc>
          <w:tcPr>
            <w:tcW w:type="dxa" w:w="4320"/>
          </w:tcPr>
          <w:p>
            <w:pPr>
              <w:jc w:val="right"/>
            </w:pPr>
            <w:r>
              <w:t>₹356.03</w:t>
            </w:r>
          </w:p>
        </w:tc>
      </w:tr>
      <w:tr>
        <w:tc>
          <w:tcPr>
            <w:tcW w:type="dxa" w:w="4320"/>
          </w:tcPr>
          <w:p>
            <w:r>
              <w:t>Current market price</w:t>
            </w:r>
          </w:p>
        </w:tc>
        <w:tc>
          <w:tcPr>
            <w:tcW w:type="dxa" w:w="4320"/>
          </w:tcPr>
          <w:p>
            <w:pPr>
              <w:jc w:val="right"/>
            </w:pPr>
            <w:r>
              <w:t>₹1,153.95</w:t>
            </w:r>
          </w:p>
        </w:tc>
      </w:tr>
      <w:tr>
        <w:tc>
          <w:tcPr>
            <w:tcW w:type="dxa" w:w="4320"/>
          </w:tcPr>
          <w:p>
            <w:r>
              <w:t>Upside / (downside)</w:t>
            </w:r>
          </w:p>
        </w:tc>
        <w:tc>
          <w:tcPr>
            <w:tcW w:type="dxa" w:w="4320"/>
          </w:tcPr>
          <w:p>
            <w:pPr>
              <w:jc w:val="right"/>
            </w:pPr>
            <w:r>
              <w:t>-69.1%</w:t>
            </w:r>
          </w:p>
        </w:tc>
      </w:tr>
      <w:tr>
        <w:tc>
          <w:tcPr>
            <w:tcW w:type="dxa" w:w="4320"/>
          </w:tcPr>
          <w:p>
            <w:r>
              <w:t>WACC</w:t>
            </w:r>
          </w:p>
        </w:tc>
        <w:tc>
          <w:tcPr>
            <w:tcW w:type="dxa" w:w="4320"/>
          </w:tcPr>
          <w:p>
            <w:pPr>
              <w:jc w:val="right"/>
            </w:pPr>
            <w:r>
              <w:t>11.9%</w:t>
            </w:r>
          </w:p>
        </w:tc>
      </w:tr>
      <w:tr>
        <w:tc>
          <w:tcPr>
            <w:tcW w:type="dxa" w:w="4320"/>
          </w:tcPr>
          <w:p>
            <w:r>
              <w:t>Terminal growth</w:t>
            </w:r>
          </w:p>
        </w:tc>
        <w:tc>
          <w:tcPr>
            <w:tcW w:type="dxa" w:w="4320"/>
          </w:tcPr>
          <w:p>
            <w:pPr>
              <w:jc w:val="right"/>
            </w:pPr>
            <w:r>
              <w:t>5.0%</w:t>
            </w:r>
          </w:p>
        </w:tc>
      </w:tr>
      <w:tr>
        <w:tc>
          <w:tcPr>
            <w:tcW w:type="dxa" w:w="4320"/>
          </w:tcPr>
          <w:p>
            <w:r>
              <w:t>Terminal value share of EV</w:t>
            </w:r>
          </w:p>
        </w:tc>
        <w:tc>
          <w:tcPr>
            <w:tcW w:type="dxa" w:w="4320"/>
          </w:tcPr>
          <w:p>
            <w:pPr>
              <w:jc w:val="right"/>
            </w:pPr>
            <w:r>
              <w:t>86.3%</w:t>
            </w:r>
          </w:p>
        </w:tc>
      </w:tr>
    </w:tbl>
    <w:p>
      <w:pPr>
        <w:pStyle w:val="Heading1"/>
      </w:pPr>
      <w:r>
        <w:t>Financial trajectory</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 Crore</w:t>
            </w:r>
          </w:p>
        </w:tc>
        <w:tc>
          <w:tcPr>
            <w:tcW w:type="dxa" w:w="1234"/>
          </w:tcPr>
          <w:p>
            <w:r>
              <w:t>FY26</w:t>
            </w:r>
          </w:p>
        </w:tc>
        <w:tc>
          <w:tcPr>
            <w:tcW w:type="dxa" w:w="1234"/>
          </w:tcPr>
          <w:p>
            <w:r>
              <w:t>FY27E</w:t>
            </w:r>
          </w:p>
        </w:tc>
        <w:tc>
          <w:tcPr>
            <w:tcW w:type="dxa" w:w="1234"/>
          </w:tcPr>
          <w:p>
            <w:r>
              <w:t>FY28E</w:t>
            </w:r>
          </w:p>
        </w:tc>
        <w:tc>
          <w:tcPr>
            <w:tcW w:type="dxa" w:w="1234"/>
          </w:tcPr>
          <w:p>
            <w:r>
              <w:t>FY29E</w:t>
            </w:r>
          </w:p>
        </w:tc>
        <w:tc>
          <w:tcPr>
            <w:tcW w:type="dxa" w:w="1234"/>
          </w:tcPr>
          <w:p>
            <w:r>
              <w:t>FY30E</w:t>
            </w:r>
          </w:p>
        </w:tc>
        <w:tc>
          <w:tcPr>
            <w:tcW w:type="dxa" w:w="1234"/>
          </w:tcPr>
          <w:p>
            <w:r>
              <w:t>FY31E</w:t>
            </w:r>
          </w:p>
        </w:tc>
      </w:tr>
      <w:tr>
        <w:tc>
          <w:tcPr>
            <w:tcW w:type="dxa" w:w="1234"/>
          </w:tcPr>
          <w:p>
            <w:r>
              <w:t>Sales</w:t>
            </w:r>
          </w:p>
        </w:tc>
        <w:tc>
          <w:tcPr>
            <w:tcW w:type="dxa" w:w="1234"/>
          </w:tcPr>
          <w:p>
            <w:pPr>
              <w:jc w:val="right"/>
            </w:pPr>
            <w:r>
              <w:t>1,055,780</w:t>
            </w:r>
          </w:p>
        </w:tc>
        <w:tc>
          <w:tcPr>
            <w:tcW w:type="dxa" w:w="1234"/>
          </w:tcPr>
          <w:p>
            <w:pPr>
              <w:jc w:val="right"/>
            </w:pPr>
            <w:r>
              <w:t>1,150,800</w:t>
            </w:r>
          </w:p>
        </w:tc>
        <w:tc>
          <w:tcPr>
            <w:tcW w:type="dxa" w:w="1234"/>
          </w:tcPr>
          <w:p>
            <w:pPr>
              <w:jc w:val="right"/>
            </w:pPr>
            <w:r>
              <w:t>1,254,372</w:t>
            </w:r>
          </w:p>
        </w:tc>
        <w:tc>
          <w:tcPr>
            <w:tcW w:type="dxa" w:w="1234"/>
          </w:tcPr>
          <w:p>
            <w:pPr>
              <w:jc w:val="right"/>
            </w:pPr>
            <w:r>
              <w:t>1,367,266</w:t>
            </w:r>
          </w:p>
        </w:tc>
        <w:tc>
          <w:tcPr>
            <w:tcW w:type="dxa" w:w="1234"/>
          </w:tcPr>
          <w:p>
            <w:pPr>
              <w:jc w:val="right"/>
            </w:pPr>
            <w:r>
              <w:t>1,476,647</w:t>
            </w:r>
          </w:p>
        </w:tc>
        <w:tc>
          <w:tcPr>
            <w:tcW w:type="dxa" w:w="1234"/>
          </w:tcPr>
          <w:p>
            <w:pPr>
              <w:jc w:val="right"/>
            </w:pPr>
            <w:r>
              <w:t>1,594,779</w:t>
            </w:r>
          </w:p>
        </w:tc>
      </w:tr>
      <w:tr>
        <w:tc>
          <w:tcPr>
            <w:tcW w:type="dxa" w:w="1234"/>
          </w:tcPr>
          <w:p>
            <w:r>
              <w:t>EBITDA</w:t>
            </w:r>
          </w:p>
        </w:tc>
        <w:tc>
          <w:tcPr>
            <w:tcW w:type="dxa" w:w="1234"/>
          </w:tcPr>
          <w:p>
            <w:pPr>
              <w:jc w:val="right"/>
            </w:pPr>
            <w:r>
              <w:t>179,065</w:t>
            </w:r>
          </w:p>
        </w:tc>
        <w:tc>
          <w:tcPr>
            <w:tcW w:type="dxa" w:w="1234"/>
          </w:tcPr>
          <w:p>
            <w:pPr>
              <w:jc w:val="right"/>
            </w:pPr>
            <w:r>
              <w:t>184,128</w:t>
            </w:r>
          </w:p>
        </w:tc>
        <w:tc>
          <w:tcPr>
            <w:tcW w:type="dxa" w:w="1234"/>
          </w:tcPr>
          <w:p>
            <w:pPr>
              <w:jc w:val="right"/>
            </w:pPr>
            <w:r>
              <w:t>200,700</w:t>
            </w:r>
          </w:p>
        </w:tc>
        <w:tc>
          <w:tcPr>
            <w:tcW w:type="dxa" w:w="1234"/>
          </w:tcPr>
          <w:p>
            <w:pPr>
              <w:jc w:val="right"/>
            </w:pPr>
            <w:r>
              <w:t>218,763</w:t>
            </w:r>
          </w:p>
        </w:tc>
        <w:tc>
          <w:tcPr>
            <w:tcW w:type="dxa" w:w="1234"/>
          </w:tcPr>
          <w:p>
            <w:pPr>
              <w:jc w:val="right"/>
            </w:pPr>
            <w:r>
              <w:t>236,264</w:t>
            </w:r>
          </w:p>
        </w:tc>
        <w:tc>
          <w:tcPr>
            <w:tcW w:type="dxa" w:w="1234"/>
          </w:tcPr>
          <w:p>
            <w:pPr>
              <w:jc w:val="right"/>
            </w:pPr>
            <w:r>
              <w:t>255,165</w:t>
            </w:r>
          </w:p>
        </w:tc>
      </w:tr>
      <w:tr>
        <w:tc>
          <w:tcPr>
            <w:tcW w:type="dxa" w:w="1234"/>
          </w:tcPr>
          <w:p>
            <w:r>
              <w:t>Net profit</w:t>
            </w:r>
          </w:p>
        </w:tc>
        <w:tc>
          <w:tcPr>
            <w:tcW w:type="dxa" w:w="1234"/>
          </w:tcPr>
          <w:p>
            <w:pPr>
              <w:jc w:val="right"/>
            </w:pPr>
            <w:r>
              <w:t>80,775</w:t>
            </w:r>
          </w:p>
        </w:tc>
        <w:tc>
          <w:tcPr>
            <w:tcW w:type="dxa" w:w="1234"/>
          </w:tcPr>
          <w:p>
            <w:pPr>
              <w:jc w:val="right"/>
            </w:pPr>
            <w:r>
              <w:t>79,308</w:t>
            </w:r>
          </w:p>
        </w:tc>
        <w:tc>
          <w:tcPr>
            <w:tcW w:type="dxa" w:w="1234"/>
          </w:tcPr>
          <w:p>
            <w:pPr>
              <w:jc w:val="right"/>
            </w:pPr>
            <w:r>
              <w:t>87,924</w:t>
            </w:r>
          </w:p>
        </w:tc>
        <w:tc>
          <w:tcPr>
            <w:tcW w:type="dxa" w:w="1234"/>
          </w:tcPr>
          <w:p>
            <w:pPr>
              <w:jc w:val="right"/>
            </w:pPr>
            <w:r>
              <w:t>97,329</w:t>
            </w:r>
          </w:p>
        </w:tc>
        <w:tc>
          <w:tcPr>
            <w:tcW w:type="dxa" w:w="1234"/>
          </w:tcPr>
          <w:p>
            <w:pPr>
              <w:jc w:val="right"/>
            </w:pPr>
            <w:r>
              <w:t>105,917</w:t>
            </w:r>
          </w:p>
        </w:tc>
        <w:tc>
          <w:tcPr>
            <w:tcW w:type="dxa" w:w="1234"/>
          </w:tcPr>
          <w:p>
            <w:pPr>
              <w:jc w:val="right"/>
            </w:pPr>
            <w:r>
              <w:t>115,234</w:t>
            </w:r>
          </w:p>
        </w:tc>
      </w:tr>
      <w:tr>
        <w:tc>
          <w:tcPr>
            <w:tcW w:type="dxa" w:w="1234"/>
          </w:tcPr>
          <w:p>
            <w:r>
              <w:t>Net debt</w:t>
            </w:r>
          </w:p>
        </w:tc>
        <w:tc>
          <w:tcPr>
            <w:tcW w:type="dxa" w:w="1234"/>
          </w:tcPr>
          <w:p>
            <w:pPr>
              <w:jc w:val="right"/>
            </w:pPr>
            <w:r>
              <w:t>256,985</w:t>
            </w:r>
          </w:p>
        </w:tc>
        <w:tc>
          <w:tcPr>
            <w:tcW w:type="dxa" w:w="1234"/>
          </w:tcPr>
          <w:p>
            <w:pPr>
              <w:jc w:val="right"/>
            </w:pPr>
            <w:r>
              <w:t>237,999</w:t>
            </w:r>
          </w:p>
        </w:tc>
        <w:tc>
          <w:tcPr>
            <w:tcW w:type="dxa" w:w="1234"/>
          </w:tcPr>
          <w:p>
            <w:pPr>
              <w:jc w:val="right"/>
            </w:pPr>
            <w:r>
              <w:t>215,307</w:t>
            </w:r>
          </w:p>
        </w:tc>
        <w:tc>
          <w:tcPr>
            <w:tcW w:type="dxa" w:w="1234"/>
          </w:tcPr>
          <w:p>
            <w:pPr>
              <w:jc w:val="right"/>
            </w:pPr>
            <w:r>
              <w:t>188,620</w:t>
            </w:r>
          </w:p>
        </w:tc>
        <w:tc>
          <w:tcPr>
            <w:tcW w:type="dxa" w:w="1234"/>
          </w:tcPr>
          <w:p>
            <w:pPr>
              <w:jc w:val="right"/>
            </w:pPr>
            <w:r>
              <w:t>163,175</w:t>
            </w:r>
          </w:p>
        </w:tc>
        <w:tc>
          <w:tcPr>
            <w:tcW w:type="dxa" w:w="1234"/>
          </w:tcPr>
          <w:p>
            <w:pPr>
              <w:jc w:val="right"/>
            </w:pPr>
            <w:r>
              <w:t>133,746</w:t>
            </w:r>
          </w:p>
        </w:tc>
      </w:tr>
      <w:tr>
        <w:tc>
          <w:tcPr>
            <w:tcW w:type="dxa" w:w="1234"/>
          </w:tcPr>
          <w:p>
            <w:r>
              <w:t>EPS</w:t>
            </w:r>
          </w:p>
        </w:tc>
        <w:tc>
          <w:tcPr>
            <w:tcW w:type="dxa" w:w="1234"/>
          </w:tcPr>
          <w:p>
            <w:pPr>
              <w:jc w:val="right"/>
            </w:pPr>
            <w:r>
              <w:t>59.7</w:t>
            </w:r>
          </w:p>
        </w:tc>
        <w:tc>
          <w:tcPr>
            <w:tcW w:type="dxa" w:w="1234"/>
          </w:tcPr>
          <w:p>
            <w:pPr>
              <w:jc w:val="right"/>
            </w:pPr>
            <w:r>
              <w:t>58.6</w:t>
            </w:r>
          </w:p>
        </w:tc>
        <w:tc>
          <w:tcPr>
            <w:tcW w:type="dxa" w:w="1234"/>
          </w:tcPr>
          <w:p>
            <w:pPr>
              <w:jc w:val="right"/>
            </w:pPr>
            <w:r>
              <w:t>65.0</w:t>
            </w:r>
          </w:p>
        </w:tc>
        <w:tc>
          <w:tcPr>
            <w:tcW w:type="dxa" w:w="1234"/>
          </w:tcPr>
          <w:p>
            <w:pPr>
              <w:jc w:val="right"/>
            </w:pPr>
            <w:r>
              <w:t>71.9</w:t>
            </w:r>
          </w:p>
        </w:tc>
        <w:tc>
          <w:tcPr>
            <w:tcW w:type="dxa" w:w="1234"/>
          </w:tcPr>
          <w:p>
            <w:pPr>
              <w:jc w:val="right"/>
            </w:pPr>
            <w:r>
              <w:t>78.3</w:t>
            </w:r>
          </w:p>
        </w:tc>
        <w:tc>
          <w:tcPr>
            <w:tcW w:type="dxa" w:w="1234"/>
          </w:tcPr>
          <w:p>
            <w:pPr>
              <w:jc w:val="right"/>
            </w:pPr>
            <w:r>
              <w:t>85.2</w:t>
            </w:r>
          </w:p>
        </w:tc>
      </w:tr>
    </w:tbl>
    <w:p>
      <w:pPr>
        <w:pStyle w:val="Heading1"/>
      </w:pPr>
      <w:r>
        <w:t>Key assumptions</w:t>
      </w:r>
    </w:p>
    <w:p>
      <w:pPr>
        <w:pStyle w:val="ListBullet"/>
      </w:pPr>
      <w:r>
        <w:t>Sales growth of 9% a year in FY27E–FY29E, then 8%.</w:t>
      </w:r>
    </w:p>
    <w:p>
      <w:pPr>
        <w:pStyle w:val="ListBullet"/>
      </w:pPr>
      <w:r>
        <w:t>EBITDA margin held at about 16%, close to the FY26 level.</w:t>
      </w:r>
    </w:p>
    <w:p>
      <w:pPr>
        <w:pStyle w:val="ListBullet"/>
      </w:pPr>
      <w:r>
        <w:t>Capex at 15% of sales, with depreciation at 5.8% of opening net block.</w:t>
      </w:r>
    </w:p>
    <w:p>
      <w:pPr>
        <w:pStyle w:val="ListBullet"/>
      </w:pPr>
      <w:r>
        <w:t>Cost of equity 13.5% (6.5% risk-free rate, 7% equity risk premium, beta 1.0); after-tax cost of debt about 5.6%.</w:t>
      </w:r>
    </w:p>
    <w:p>
      <w:pPr>
        <w:pStyle w:val="ListBullet"/>
      </w:pPr>
      <w:r>
        <w:t>Terminal growth 5%; return on new invested capital 12% (terminal reinvestment = growth ÷ RONIC).</w:t>
      </w:r>
    </w:p>
    <w:p>
      <w:pPr>
        <w:pStyle w:val="Heading1"/>
      </w:pPr>
      <w:r>
        <w:t>Interpretation</w:t>
      </w:r>
    </w:p>
    <w:p>
      <w:r>
        <w:t>Under these assumptions the DCF value sits well below the current market price, so the market is pricing in growth above this forecast, particularly from the telecom and retail segments, which are not modelled separately.</w:t>
      </w:r>
    </w:p>
    <w:p>
      <w:r>
        <w:t>Value is concentrated in the terminal period (about 86% of EV), so the result is most sensitive to WACC and the long-run return on new capital.</w:t>
      </w:r>
    </w:p>
    <w:p>
      <w:pPr>
        <w:pStyle w:val="Heading1"/>
      </w:pPr>
      <w:r>
        <w:t>Sensitivity</w:t>
      </w:r>
    </w:p>
    <w:p>
      <w:r>
        <w:t>Implied value per share (₹) across WACC (rows) and terminal growth (columns):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WACC \ g</w:t>
            </w:r>
          </w:p>
        </w:tc>
        <w:tc>
          <w:tcPr>
            <w:tcW w:type="dxa" w:w="1440"/>
          </w:tcPr>
          <w:p>
            <w:r>
              <w:t>4.0%</w:t>
            </w:r>
          </w:p>
        </w:tc>
        <w:tc>
          <w:tcPr>
            <w:tcW w:type="dxa" w:w="1440"/>
          </w:tcPr>
          <w:p>
            <w:r>
              <w:t>4.5%</w:t>
            </w:r>
          </w:p>
        </w:tc>
        <w:tc>
          <w:tcPr>
            <w:tcW w:type="dxa" w:w="1440"/>
          </w:tcPr>
          <w:p>
            <w:r>
              <w:t>5.0%</w:t>
            </w:r>
          </w:p>
        </w:tc>
        <w:tc>
          <w:tcPr>
            <w:tcW w:type="dxa" w:w="1440"/>
          </w:tcPr>
          <w:p>
            <w:r>
              <w:t>5.5%</w:t>
            </w:r>
          </w:p>
        </w:tc>
        <w:tc>
          <w:tcPr>
            <w:tcW w:type="dxa" w:w="1440"/>
          </w:tcPr>
          <w:p>
            <w:r>
              <w:t>6.0%</w:t>
            </w:r>
          </w:p>
        </w:tc>
      </w:tr>
      <w:tr>
        <w:tc>
          <w:tcPr>
            <w:tcW w:type="dxa" w:w="1440"/>
          </w:tcPr>
          <w:p>
            <w:r>
              <w:t>10.9%</w:t>
            </w:r>
          </w:p>
        </w:tc>
        <w:tc>
          <w:tcPr>
            <w:tcW w:type="dxa" w:w="1440"/>
          </w:tcPr>
          <w:p>
            <w:r>
              <w:t>445</w:t>
            </w:r>
          </w:p>
        </w:tc>
        <w:tc>
          <w:tcPr>
            <w:tcW w:type="dxa" w:w="1440"/>
          </w:tcPr>
          <w:p>
            <w:r>
              <w:t>453</w:t>
            </w:r>
          </w:p>
        </w:tc>
        <w:tc>
          <w:tcPr>
            <w:tcW w:type="dxa" w:w="1440"/>
          </w:tcPr>
          <w:p>
            <w:r>
              <w:t>463</w:t>
            </w:r>
          </w:p>
        </w:tc>
        <w:tc>
          <w:tcPr>
            <w:tcW w:type="dxa" w:w="1440"/>
          </w:tcPr>
          <w:p>
            <w:r>
              <w:t>475</w:t>
            </w:r>
          </w:p>
        </w:tc>
        <w:tc>
          <w:tcPr>
            <w:tcW w:type="dxa" w:w="1440"/>
          </w:tcPr>
          <w:p>
            <w:r>
              <w:t>488</w:t>
            </w:r>
          </w:p>
        </w:tc>
      </w:tr>
      <w:tr>
        <w:tc>
          <w:tcPr>
            <w:tcW w:type="dxa" w:w="1440"/>
          </w:tcPr>
          <w:p>
            <w:r>
              <w:t>11.4%</w:t>
            </w:r>
          </w:p>
        </w:tc>
        <w:tc>
          <w:tcPr>
            <w:tcW w:type="dxa" w:w="1440"/>
          </w:tcPr>
          <w:p>
            <w:r>
              <w:t>394</w:t>
            </w:r>
          </w:p>
        </w:tc>
        <w:tc>
          <w:tcPr>
            <w:tcW w:type="dxa" w:w="1440"/>
          </w:tcPr>
          <w:p>
            <w:r>
              <w:t>400</w:t>
            </w:r>
          </w:p>
        </w:tc>
        <w:tc>
          <w:tcPr>
            <w:tcW w:type="dxa" w:w="1440"/>
          </w:tcPr>
          <w:p>
            <w:r>
              <w:t>405</w:t>
            </w:r>
          </w:p>
        </w:tc>
        <w:tc>
          <w:tcPr>
            <w:tcW w:type="dxa" w:w="1440"/>
          </w:tcPr>
          <w:p>
            <w:r>
              <w:t>412</w:t>
            </w:r>
          </w:p>
        </w:tc>
        <w:tc>
          <w:tcPr>
            <w:tcW w:type="dxa" w:w="1440"/>
          </w:tcPr>
          <w:p>
            <w:r>
              <w:t>419</w:t>
            </w:r>
          </w:p>
        </w:tc>
      </w:tr>
      <w:tr>
        <w:tc>
          <w:tcPr>
            <w:tcW w:type="dxa" w:w="1440"/>
          </w:tcPr>
          <w:p>
            <w:r>
              <w:t>11.9%</w:t>
            </w:r>
          </w:p>
        </w:tc>
        <w:tc>
          <w:tcPr>
            <w:tcW w:type="dxa" w:w="1440"/>
          </w:tcPr>
          <w:p>
            <w:r>
              <w:t>351</w:t>
            </w:r>
          </w:p>
        </w:tc>
        <w:tc>
          <w:tcPr>
            <w:tcW w:type="dxa" w:w="1440"/>
          </w:tcPr>
          <w:p>
            <w:r>
              <w:t>353</w:t>
            </w:r>
          </w:p>
        </w:tc>
        <w:tc>
          <w:tcPr>
            <w:tcW w:type="dxa" w:w="1440"/>
          </w:tcPr>
          <w:p>
            <w:r>
              <w:t>356</w:t>
            </w:r>
          </w:p>
        </w:tc>
        <w:tc>
          <w:tcPr>
            <w:tcW w:type="dxa" w:w="1440"/>
          </w:tcPr>
          <w:p>
            <w:r>
              <w:t>359</w:t>
            </w:r>
          </w:p>
        </w:tc>
        <w:tc>
          <w:tcPr>
            <w:tcW w:type="dxa" w:w="1440"/>
          </w:tcPr>
          <w:p>
            <w:r>
              <w:t>362</w:t>
            </w:r>
          </w:p>
        </w:tc>
      </w:tr>
      <w:tr>
        <w:tc>
          <w:tcPr>
            <w:tcW w:type="dxa" w:w="1440"/>
          </w:tcPr>
          <w:p>
            <w:r>
              <w:t>12.4%</w:t>
            </w:r>
          </w:p>
        </w:tc>
        <w:tc>
          <w:tcPr>
            <w:tcW w:type="dxa" w:w="1440"/>
          </w:tcPr>
          <w:p>
            <w:r>
              <w:t>312</w:t>
            </w:r>
          </w:p>
        </w:tc>
        <w:tc>
          <w:tcPr>
            <w:tcW w:type="dxa" w:w="1440"/>
          </w:tcPr>
          <w:p>
            <w:r>
              <w:t>313</w:t>
            </w:r>
          </w:p>
        </w:tc>
        <w:tc>
          <w:tcPr>
            <w:tcW w:type="dxa" w:w="1440"/>
          </w:tcPr>
          <w:p>
            <w:r>
              <w:t>313</w:t>
            </w:r>
          </w:p>
        </w:tc>
        <w:tc>
          <w:tcPr>
            <w:tcW w:type="dxa" w:w="1440"/>
          </w:tcPr>
          <w:p>
            <w:r>
              <w:t>314</w:t>
            </w:r>
          </w:p>
        </w:tc>
        <w:tc>
          <w:tcPr>
            <w:tcW w:type="dxa" w:w="1440"/>
          </w:tcPr>
          <w:p>
            <w:r>
              <w:t>314</w:t>
            </w:r>
          </w:p>
        </w:tc>
      </w:tr>
      <w:tr>
        <w:tc>
          <w:tcPr>
            <w:tcW w:type="dxa" w:w="1440"/>
          </w:tcPr>
          <w:p>
            <w:r>
              <w:t>12.9%</w:t>
            </w:r>
          </w:p>
        </w:tc>
        <w:tc>
          <w:tcPr>
            <w:tcW w:type="dxa" w:w="1440"/>
          </w:tcPr>
          <w:p>
            <w:r>
              <w:t>278</w:t>
            </w:r>
          </w:p>
        </w:tc>
        <w:tc>
          <w:tcPr>
            <w:tcW w:type="dxa" w:w="1440"/>
          </w:tcPr>
          <w:p>
            <w:r>
              <w:t>278</w:t>
            </w:r>
          </w:p>
        </w:tc>
        <w:tc>
          <w:tcPr>
            <w:tcW w:type="dxa" w:w="1440"/>
          </w:tcPr>
          <w:p>
            <w:r>
              <w:t>276</w:t>
            </w:r>
          </w:p>
        </w:tc>
        <w:tc>
          <w:tcPr>
            <w:tcW w:type="dxa" w:w="1440"/>
          </w:tcPr>
          <w:p>
            <w:r>
              <w:t>275</w:t>
            </w:r>
          </w:p>
        </w:tc>
        <w:tc>
          <w:tcPr>
            <w:tcW w:type="dxa" w:w="1440"/>
          </w:tcPr>
          <w:p>
            <w:r>
              <w:t>273</w:t>
            </w:r>
          </w:p>
        </w:tc>
      </w:tr>
    </w:tbl>
    <w:p>
      <w:pPr>
        <w:pStyle w:val="Heading1"/>
      </w:pPr>
      <w:r>
        <w:t>Limitations</w:t>
      </w:r>
    </w:p>
    <w:p>
      <w:pPr>
        <w:pStyle w:val="ListBullet"/>
      </w:pPr>
      <w:r>
        <w:t>Minority interests are not deducted; the source data does not report them separately, and they are material for Reliance.</w:t>
      </w:r>
    </w:p>
    <w:p>
      <w:pPr>
        <w:pStyle w:val="ListBullet"/>
      </w:pPr>
      <w:r>
        <w:t>Risk-free rate, equity risk premium and beta are assumptions and have not been checked against current market data.</w:t>
      </w:r>
    </w:p>
    <w:p>
      <w:pPr>
        <w:pStyle w:val="ListBullet"/>
      </w:pPr>
      <w:r>
        <w:t>Cash flows are discounted at year-end, not mid-year.</w:t>
      </w:r>
    </w:p>
    <w:p>
      <w:pPr>
        <w:pStyle w:val="ListBullet"/>
      </w:pPr>
      <w:r>
        <w:t>No segment-level build (Oil &amp; Gas, Retail, Digital Services) is included.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