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90"/>
        <w:jc w:val="center"/>
      </w:pPr>
      <w:r>
        <w:rPr>
          <w:rFonts w:ascii="Arial" w:cs="Arial" w:eastAsia="Arial" w:hAnsi="Arial"/>
          <w:b/>
          <w:bCs/>
          <w:color w:val="FFFFFF"/>
          <w:sz w:val="28"/>
          <w:szCs w:val="28"/>
        </w:rPr>
        <w:t xml:space="preserve">FORZA </w:t>
      </w:r>
      <w:r>
        <w:rPr>
          <w:rFonts w:ascii="Arial" w:cs="Arial" w:eastAsia="Arial" w:hAnsi="Arial"/>
          <w:color w:val="AACCEE"/>
          <w:sz w:val="22"/>
          <w:szCs w:val="22"/>
        </w:rPr>
        <w:t xml:space="preserve">HOW TO USE A BATTLE CARD</w:t>
      </w:r>
    </w:p>
    <w:p>
      <w:pPr>
        <w:shd w:fill="1B3A5C" w:val="clear"/>
        <w:spacing w:after="80" w:before="0"/>
        <w:jc w:val="center"/>
      </w:pPr>
      <w:r>
        <w:rPr>
          <w:rFonts w:ascii="Arial" w:cs="Arial" w:eastAsia="Arial" w:hAnsi="Arial"/>
          <w:i/>
          <w:iCs/>
          <w:color w:val="D9DCE1"/>
          <w:sz w:val="14"/>
          <w:szCs w:val="14"/>
        </w:rPr>
        <w:t xml:space="preserve">A coaching guide for Forza sales reps  |  July 2026  |  CONFIDENTIAL</w:t>
      </w:r>
    </w:p>
    <w:p>
      <w:pPr>
        <w:shd w:fill="1B3A5C" w:val="clear"/>
        <w:spacing w:after="0" w:before="0"/>
        <w:jc w:val="center"/>
      </w:pPr>
      <w:r>
        <w:rPr>
          <w:sz w:val="4"/>
          <w:szCs w:val="4"/>
        </w:rPr>
        <w:t xml:space="preserve"> </w:t>
      </w:r>
    </w:p>
    <w:p>
      <w:pPr>
        <w:spacing w:after="0" w:before="60"/>
      </w:pPr>
    </w:p>
    <w:p>
      <w:pPr>
        <w:pBdr>
          <w:bottom w:val="single" w:color="F16A26" w:sz="6" w:space="1"/>
        </w:pBdr>
        <w:spacing w:after="50" w:before="0"/>
      </w:pPr>
      <w:r>
        <w:rPr>
          <w:rFonts w:ascii="Arial" w:cs="Arial" w:eastAsia="Arial" w:hAnsi="Arial"/>
          <w:b/>
          <w:bCs/>
          <w:color w:val="1B3A5C"/>
          <w:sz w:val="22"/>
          <w:szCs w:val="22"/>
        </w:rPr>
        <w:t xml:space="preserve">WHAT IS A BATTLE CARD — AND WHAT IS IT NOT</w:t>
      </w:r>
    </w:p>
    <w:p>
      <w:pPr>
        <w:spacing w:after="0" w:before="40"/>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380"/>
        <w:gridCol w:w="5580"/>
      </w:tblGrid>
      <w:tr>
        <w:tc>
          <w:tcPr>
            <w:tcW w:type="dxa" w:w="5380"/>
            <w:tcBorders>
              <w:top w:val="none" w:color="FFFFFF" w:sz="0"/>
              <w:left w:val="none" w:color="FFFFFF" w:sz="0"/>
              <w:bottom w:val="none" w:color="FFFFFF" w:sz="0"/>
              <w:right w:val="none" w:color="FFFFFF" w:sz="0"/>
            </w:tcBorders>
            <w:shd w:fill="F0FFF4" w:val="clear"/>
            <w:tcMar>
              <w:top w:type="dxa" w:w="0"/>
              <w:left w:type="dxa" w:w="0"/>
              <w:bottom w:type="dxa" w:w="0"/>
              <w:right w:type="dxa" w:w="80"/>
            </w:tcMar>
          </w:tcPr>
          <w:p>
            <w:pPr>
              <w:spacing w:after="8" w:before="60"/>
            </w:pPr>
            <w:r>
              <w:rPr>
                <w:rFonts w:ascii="Arial" w:cs="Arial" w:eastAsia="Arial" w:hAnsi="Arial"/>
                <w:b/>
                <w:bCs/>
                <w:color w:val="1E6B35"/>
                <w:sz w:val="16"/>
                <w:szCs w:val="16"/>
              </w:rPr>
              <w:t xml:space="preserve">✓  What it IS</w:t>
            </w:r>
          </w:p>
          <w:p>
            <w:pPr>
              <w:spacing w:after="14" w:before="0"/>
            </w:pPr>
            <w:r>
              <w:rPr>
                <w:rFonts w:ascii="Arial" w:cs="Arial" w:eastAsia="Arial" w:hAnsi="Arial"/>
                <w:color w:val="4A4A4A"/>
                <w:sz w:val="15"/>
                <w:szCs w:val="15"/>
              </w:rPr>
              <w:t xml:space="preserve">•  A conversation preparation tool — not a script</w:t>
            </w:r>
          </w:p>
          <w:p>
            <w:pPr>
              <w:spacing w:after="14" w:before="0"/>
            </w:pPr>
            <w:r>
              <w:rPr>
                <w:rFonts w:ascii="Arial" w:cs="Arial" w:eastAsia="Arial" w:hAnsi="Arial"/>
                <w:color w:val="4A4A4A"/>
                <w:sz w:val="15"/>
                <w:szCs w:val="15"/>
              </w:rPr>
              <w:t xml:space="preserve">•  A reference for the key facts that matter in a head-to-head with a specific competitor</w:t>
            </w:r>
          </w:p>
          <w:p>
            <w:pPr>
              <w:spacing w:after="14" w:before="0"/>
            </w:pPr>
            <w:r>
              <w:rPr>
                <w:rFonts w:ascii="Arial" w:cs="Arial" w:eastAsia="Arial" w:hAnsi="Arial"/>
                <w:color w:val="4A4A4A"/>
                <w:sz w:val="15"/>
                <w:szCs w:val="15"/>
              </w:rPr>
              <w:t xml:space="preserve">•  A source of talking points you internalize and deliver naturally</w:t>
            </w:r>
          </w:p>
          <w:p>
            <w:pPr>
              <w:spacing w:after="14" w:before="0"/>
            </w:pPr>
            <w:r>
              <w:rPr>
                <w:rFonts w:ascii="Arial" w:cs="Arial" w:eastAsia="Arial" w:hAnsi="Arial"/>
                <w:color w:val="4A4A4A"/>
                <w:sz w:val="15"/>
                <w:szCs w:val="15"/>
              </w:rPr>
              <w:t xml:space="preserve">•  A way to anticipate objections before they come up</w:t>
            </w:r>
          </w:p>
          <w:p>
            <w:pPr>
              <w:spacing w:after="14" w:before="0"/>
            </w:pPr>
            <w:r>
              <w:rPr>
                <w:rFonts w:ascii="Arial" w:cs="Arial" w:eastAsia="Arial" w:hAnsi="Arial"/>
                <w:color w:val="4A4A4A"/>
                <w:sz w:val="15"/>
                <w:szCs w:val="15"/>
              </w:rPr>
              <w:t xml:space="preserve">•  A field intelligence snapshot — what the competitor is strong on, what they’re not</w:t>
            </w:r>
          </w:p>
          <w:p>
            <w:pPr>
              <w:spacing w:after="0" w:before="60"/>
            </w:pPr>
          </w:p>
        </w:tc>
        <w:tc>
          <w:tcPr>
            <w:tcW w:type="dxa" w:w="5580"/>
            <w:tcBorders>
              <w:top w:val="none" w:color="FFFFFF" w:sz="0"/>
              <w:left w:val="single" w:color="D9DCE1" w:sz="3"/>
              <w:bottom w:val="none" w:color="FFFFFF" w:sz="0"/>
              <w:right w:val="none" w:color="FFFFFF" w:sz="0"/>
            </w:tcBorders>
            <w:shd w:fill="FFF5F5" w:val="clear"/>
            <w:tcMar>
              <w:top w:type="dxa" w:w="0"/>
              <w:left w:type="dxa" w:w="100"/>
              <w:bottom w:type="dxa" w:w="0"/>
              <w:right w:type="dxa" w:w="0"/>
            </w:tcMar>
          </w:tcPr>
          <w:p>
            <w:pPr>
              <w:spacing w:after="8" w:before="60"/>
            </w:pPr>
            <w:r>
              <w:rPr>
                <w:rFonts w:ascii="Arial" w:cs="Arial" w:eastAsia="Arial" w:hAnsi="Arial"/>
                <w:b/>
                <w:bCs/>
                <w:color w:val="7B1010"/>
                <w:sz w:val="16"/>
                <w:szCs w:val="16"/>
              </w:rPr>
              <w:t xml:space="preserve">✗  What it IS NOT</w:t>
            </w:r>
          </w:p>
          <w:p>
            <w:pPr>
              <w:spacing w:after="14" w:before="0"/>
            </w:pPr>
            <w:r>
              <w:rPr>
                <w:rFonts w:ascii="Arial" w:cs="Arial" w:eastAsia="Arial" w:hAnsi="Arial"/>
                <w:color w:val="4A4A4A"/>
                <w:sz w:val="15"/>
                <w:szCs w:val="15"/>
              </w:rPr>
              <w:t xml:space="preserve">✗  Something you read aloud in a meeting</w:t>
            </w:r>
          </w:p>
          <w:p>
            <w:pPr>
              <w:spacing w:after="14" w:before="0"/>
            </w:pPr>
            <w:r>
              <w:rPr>
                <w:rFonts w:ascii="Arial" w:cs="Arial" w:eastAsia="Arial" w:hAnsi="Arial"/>
                <w:color w:val="4A4A4A"/>
                <w:sz w:val="15"/>
                <w:szCs w:val="15"/>
              </w:rPr>
              <w:t xml:space="preserve">✗  A guarantee that Forza wins every deal</w:t>
            </w:r>
          </w:p>
          <w:p>
            <w:pPr>
              <w:spacing w:after="14" w:before="0"/>
            </w:pPr>
            <w:r>
              <w:rPr>
                <w:rFonts w:ascii="Arial" w:cs="Arial" w:eastAsia="Arial" w:hAnsi="Arial"/>
                <w:color w:val="4A4A4A"/>
                <w:sz w:val="15"/>
                <w:szCs w:val="15"/>
              </w:rPr>
              <w:t xml:space="preserve">✗  A reason to attack the competitor directly or personally</w:t>
            </w:r>
          </w:p>
          <w:p>
            <w:pPr>
              <w:spacing w:after="14" w:before="0"/>
            </w:pPr>
            <w:r>
              <w:rPr>
                <w:rFonts w:ascii="Arial" w:cs="Arial" w:eastAsia="Arial" w:hAnsi="Arial"/>
                <w:color w:val="4A4A4A"/>
                <w:sz w:val="15"/>
                <w:szCs w:val="15"/>
              </w:rPr>
              <w:t xml:space="preserve">✗  A replacement for knowing your own product line cold</w:t>
            </w:r>
          </w:p>
          <w:p>
            <w:pPr>
              <w:spacing w:after="14" w:before="0"/>
            </w:pPr>
            <w:r>
              <w:rPr>
                <w:rFonts w:ascii="Arial" w:cs="Arial" w:eastAsia="Arial" w:hAnsi="Arial"/>
                <w:color w:val="4A4A4A"/>
                <w:sz w:val="15"/>
                <w:szCs w:val="15"/>
              </w:rPr>
              <w:t xml:space="preserve">✗  Something you show the customer — it’s internal only</w:t>
            </w:r>
          </w:p>
          <w:p>
            <w:pPr>
              <w:spacing w:after="0" w:before="60"/>
            </w:pPr>
          </w:p>
        </w:tc>
      </w:tr>
    </w:tbl>
    <w:p>
      <w:pPr>
        <w:spacing w:after="0" w:before="70"/>
      </w:pPr>
    </w:p>
    <w:p>
      <w:pPr>
        <w:pBdr>
          <w:bottom w:val="single" w:color="F16A26" w:sz="6" w:space="1"/>
        </w:pBdr>
        <w:spacing w:after="50" w:before="0"/>
      </w:pPr>
      <w:r>
        <w:rPr>
          <w:rFonts w:ascii="Arial" w:cs="Arial" w:eastAsia="Arial" w:hAnsi="Arial"/>
          <w:b/>
          <w:bCs/>
          <w:color w:val="1B3A5C"/>
          <w:sz w:val="22"/>
          <w:szCs w:val="22"/>
        </w:rPr>
        <w:t xml:space="preserve">ANATOMY OF THE CARD — WHAT EACH SECTION DOES</w:t>
      </w:r>
    </w:p>
    <w:p>
      <w:pPr>
        <w:spacing w:after="0" w:before="44"/>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856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20"/>
            </w:tcMar>
            <w:vAlign w:val="top"/>
          </w:tcPr>
          <w:p>
            <w:r>
              <w:rPr>
                <w:rFonts w:ascii="Arial" w:cs="Arial" w:eastAsia="Arial" w:hAnsi="Arial"/>
                <w:sz w:val="20"/>
                <w:szCs w:val="20"/>
              </w:rPr>
              <w:t xml:space="preserve"/>
            </w:r>
          </w:p>
          <w:p>
            <w:pPr>
              <w:spacing w:after="0" w:before="0"/>
            </w:pPr>
            <w:r>
              <w:rPr>
                <w:rFonts w:ascii="Arial" w:cs="Arial" w:eastAsia="Arial" w:hAnsi="Arial"/>
                <w:b/>
                <w:bCs/>
                <w:color w:val="FFFFFF"/>
                <w:sz w:val="17"/>
                <w:szCs w:val="17"/>
              </w:rPr>
              <w:t xml:space="preserve">PITCH
(top of card)</w:t>
            </w:r>
          </w:p>
        </w:tc>
        <w:tc>
          <w:tcPr>
            <w:tcW w:type="dxa" w:w="8560"/>
            <w:tcBorders>
              <w:top w:val="single" w:color="D9DCE1" w:sz="1"/>
              <w:left w:val="none" w:color="FFFFFF" w:sz="0"/>
              <w:bottom w:val="single" w:color="D9DCE1" w:sz="1"/>
              <w:right w:val="single" w:color="D9DCE1" w:sz="1"/>
            </w:tcBorders>
            <w:shd w:fill="F2F4F7" w:val="clear"/>
            <w:tcMar>
              <w:top w:type="dxa" w:w="100"/>
              <w:left w:type="dxa" w:w="160"/>
              <w:bottom w:type="dxa" w:w="100"/>
              <w:right w:type="dxa" w:w="120"/>
            </w:tcMar>
            <w:vAlign w:val="top"/>
          </w:tcPr>
          <w:p>
            <w:pPr>
              <w:spacing w:after="16" w:before="0"/>
            </w:pPr>
            <w:r>
              <w:rPr>
                <w:rFonts w:ascii="Arial" w:cs="Arial" w:eastAsia="Arial" w:hAnsi="Arial"/>
                <w:color w:val="4A4A4A"/>
                <w:sz w:val="16"/>
                <w:szCs w:val="16"/>
              </w:rPr>
              <w:t xml:space="preserve">The one-sentence frame for the entire conversation. This is what you want planted in the prospect’s head before anything else is said. Memorize this. You should be able to say it in any order, in any setting, in under 10 seconds.</w:t>
            </w:r>
          </w:p>
        </w:tc>
      </w:tr>
    </w:tbl>
    <w:p>
      <w:pPr>
        <w:spacing w:after="0" w:before="28"/>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8560"/>
      </w:tblGrid>
      <w:tr>
        <w:tc>
          <w:tcPr>
            <w:tcW w:type="dxa" w:w="2400"/>
            <w:tcBorders>
              <w:top w:val="single" w:color="0D5C63" w:sz="1"/>
              <w:left w:val="single" w:color="0D5C63" w:sz="1"/>
              <w:bottom w:val="single" w:color="0D5C63" w:sz="1"/>
              <w:right w:val="single" w:color="0D5C63" w:sz="1"/>
            </w:tcBorders>
            <w:shd w:fill="0D5C63" w:val="clear"/>
            <w:tcMar>
              <w:top w:type="dxa" w:w="100"/>
              <w:left w:type="dxa" w:w="140"/>
              <w:bottom w:type="dxa" w:w="100"/>
              <w:right w:type="dxa" w:w="120"/>
            </w:tcMar>
            <w:vAlign w:val="top"/>
          </w:tcPr>
          <w:p>
            <w:r>
              <w:rPr>
                <w:rFonts w:ascii="Arial" w:cs="Arial" w:eastAsia="Arial" w:hAnsi="Arial"/>
                <w:sz w:val="20"/>
                <w:szCs w:val="20"/>
              </w:rPr>
              <w:t xml:space="preserve"/>
            </w:r>
          </w:p>
          <w:p>
            <w:pPr>
              <w:spacing w:after="0" w:before="0"/>
            </w:pPr>
            <w:r>
              <w:rPr>
                <w:rFonts w:ascii="Arial" w:cs="Arial" w:eastAsia="Arial" w:hAnsi="Arial"/>
                <w:b/>
                <w:bCs/>
                <w:color w:val="FFFFFF"/>
                <w:sz w:val="17"/>
                <w:szCs w:val="17"/>
              </w:rPr>
              <w:t xml:space="preserve">DIRECT
COMPETITION
(left column,
page 1)</w:t>
            </w:r>
          </w:p>
        </w:tc>
        <w:tc>
          <w:tcPr>
            <w:tcW w:type="dxa" w:w="8560"/>
            <w:tcBorders>
              <w:top w:val="single" w:color="D9DCE1" w:sz="1"/>
              <w:left w:val="none" w:color="FFFFFF" w:sz="0"/>
              <w:bottom w:val="single" w:color="D9DCE1" w:sz="1"/>
              <w:right w:val="single" w:color="D9DCE1" w:sz="1"/>
            </w:tcBorders>
            <w:shd w:fill="F2F4F7" w:val="clear"/>
            <w:tcMar>
              <w:top w:type="dxa" w:w="100"/>
              <w:left w:type="dxa" w:w="160"/>
              <w:bottom w:type="dxa" w:w="100"/>
              <w:right w:type="dxa" w:w="120"/>
            </w:tcMar>
            <w:vAlign w:val="top"/>
          </w:tcPr>
          <w:p>
            <w:pPr>
              <w:spacing w:after="16" w:before="0"/>
            </w:pPr>
            <w:r>
              <w:rPr>
                <w:rFonts w:ascii="Arial" w:cs="Arial" w:eastAsia="Arial" w:hAnsi="Arial"/>
                <w:color w:val="4A4A4A"/>
                <w:sz w:val="16"/>
                <w:szCs w:val="16"/>
              </w:rPr>
              <w:t xml:space="preserve">The crosswalk table. This is reference material — use it to quickly confirm which Forza SKU matches the competitor’s product. You don’t need to memorize every row. Know the 3-4 that come up most in your territory.</w:t>
            </w:r>
          </w:p>
          <w:p>
            <w:pPr>
              <w:spacing w:after="16" w:before="0"/>
            </w:pPr>
            <w:r>
              <w:rPr>
                <w:rFonts w:ascii="Arial" w:cs="Arial" w:eastAsia="Arial" w:hAnsi="Arial"/>
                <w:color w:val="4A4A4A"/>
                <w:sz w:val="16"/>
                <w:szCs w:val="16"/>
              </w:rPr>
              <w:t xml:space="preserve">The ‘No Forza Equivalent’ section matters too. Don’t try to sell against products you can’t match. Acknowledge the gap if it comes up, redirect to what Forza does better.</w:t>
            </w:r>
          </w:p>
        </w:tc>
      </w:tr>
    </w:tbl>
    <w:p>
      <w:pPr>
        <w:spacing w:after="0" w:before="28"/>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8560"/>
      </w:tblGrid>
      <w:tr>
        <w:tc>
          <w:tcPr>
            <w:tcW w:type="dxa" w:w="2400"/>
            <w:tcBorders>
              <w:top w:val="single" w:color="4A235A" w:sz="1"/>
              <w:left w:val="single" w:color="4A235A" w:sz="1"/>
              <w:bottom w:val="single" w:color="4A235A" w:sz="1"/>
              <w:right w:val="single" w:color="4A235A" w:sz="1"/>
            </w:tcBorders>
            <w:shd w:fill="4A235A" w:val="clear"/>
            <w:tcMar>
              <w:top w:type="dxa" w:w="100"/>
              <w:left w:type="dxa" w:w="140"/>
              <w:bottom w:type="dxa" w:w="100"/>
              <w:right w:type="dxa" w:w="120"/>
            </w:tcMar>
            <w:vAlign w:val="top"/>
          </w:tcPr>
          <w:p>
            <w:r>
              <w:rPr>
                <w:rFonts w:ascii="Arial" w:cs="Arial" w:eastAsia="Arial" w:hAnsi="Arial"/>
                <w:sz w:val="20"/>
                <w:szCs w:val="20"/>
              </w:rPr>
              <w:t xml:space="preserve"/>
            </w:r>
          </w:p>
          <w:p>
            <w:pPr>
              <w:spacing w:after="0" w:before="0"/>
            </w:pPr>
            <w:r>
              <w:rPr>
                <w:rFonts w:ascii="Arial" w:cs="Arial" w:eastAsia="Arial" w:hAnsi="Arial"/>
                <w:b/>
                <w:bCs/>
                <w:color w:val="FFFFFF"/>
                <w:sz w:val="17"/>
                <w:szCs w:val="17"/>
              </w:rPr>
              <w:t xml:space="preserve">KNOW YOUR
ENEMY
(right column,
page 1)</w:t>
            </w:r>
          </w:p>
        </w:tc>
        <w:tc>
          <w:tcPr>
            <w:tcW w:type="dxa" w:w="8560"/>
            <w:tcBorders>
              <w:top w:val="single" w:color="D9DCE1" w:sz="1"/>
              <w:left w:val="none" w:color="FFFFFF" w:sz="0"/>
              <w:bottom w:val="single" w:color="D9DCE1" w:sz="1"/>
              <w:right w:val="single" w:color="D9DCE1" w:sz="1"/>
            </w:tcBorders>
            <w:shd w:fill="F2F4F7" w:val="clear"/>
            <w:tcMar>
              <w:top w:type="dxa" w:w="100"/>
              <w:left w:type="dxa" w:w="160"/>
              <w:bottom w:type="dxa" w:w="100"/>
              <w:right w:type="dxa" w:w="120"/>
            </w:tcMar>
            <w:vAlign w:val="top"/>
          </w:tcPr>
          <w:p>
            <w:pPr>
              <w:spacing w:after="16" w:before="0"/>
            </w:pPr>
            <w:r>
              <w:rPr>
                <w:rFonts w:ascii="Arial" w:cs="Arial" w:eastAsia="Arial" w:hAnsi="Arial"/>
                <w:color w:val="4A4A4A"/>
                <w:sz w:val="16"/>
                <w:szCs w:val="16"/>
              </w:rPr>
              <w:t xml:space="preserve">Context on the competitor — who they are, how they think, how they sell. This is the background that makes your conversation credible. Read this before any call where this competitor is in the account.</w:t>
            </w:r>
          </w:p>
          <w:p>
            <w:pPr>
              <w:spacing w:after="16" w:before="0"/>
            </w:pPr>
            <w:r>
              <w:rPr>
                <w:rFonts w:ascii="Arial" w:cs="Arial" w:eastAsia="Arial" w:hAnsi="Arial"/>
                <w:color w:val="4A4A4A"/>
                <w:sz w:val="16"/>
                <w:szCs w:val="16"/>
              </w:rPr>
              <w:t xml:space="preserve">The Key Messages below it are the scripts by audience type. Industrial contractor. Marine fabricator. Distributor. Pick the one that matches who you’re talking to and internalize that version.</w:t>
            </w:r>
          </w:p>
        </w:tc>
      </w:tr>
    </w:tbl>
    <w:p>
      <w:pPr>
        <w:spacing w:after="0" w:before="28"/>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8560"/>
      </w:tblGrid>
      <w:tr>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20"/>
            </w:tcMar>
            <w:vAlign w:val="top"/>
          </w:tcPr>
          <w:p>
            <w:r>
              <w:rPr>
                <w:rFonts w:ascii="Arial" w:cs="Arial" w:eastAsia="Arial" w:hAnsi="Arial"/>
                <w:sz w:val="20"/>
                <w:szCs w:val="20"/>
              </w:rPr>
              <w:t xml:space="preserve"/>
            </w:r>
          </w:p>
          <w:p>
            <w:pPr>
              <w:spacing w:after="0" w:before="0"/>
            </w:pPr>
            <w:r>
              <w:rPr>
                <w:rFonts w:ascii="Arial" w:cs="Arial" w:eastAsia="Arial" w:hAnsi="Arial"/>
                <w:b/>
                <w:bCs/>
                <w:color w:val="FFFFFF"/>
                <w:sz w:val="17"/>
                <w:szCs w:val="17"/>
              </w:rPr>
              <w:t xml:space="preserve">OBJECTION
HANDLING
(right column,
page 1)</w:t>
            </w:r>
          </w:p>
        </w:tc>
        <w:tc>
          <w:tcPr>
            <w:tcW w:type="dxa" w:w="8560"/>
            <w:tcBorders>
              <w:top w:val="single" w:color="D9DCE1" w:sz="1"/>
              <w:left w:val="none" w:color="FFFFFF" w:sz="0"/>
              <w:bottom w:val="single" w:color="D9DCE1" w:sz="1"/>
              <w:right w:val="single" w:color="D9DCE1" w:sz="1"/>
            </w:tcBorders>
            <w:shd w:fill="F2F4F7" w:val="clear"/>
            <w:tcMar>
              <w:top w:type="dxa" w:w="100"/>
              <w:left w:type="dxa" w:w="160"/>
              <w:bottom w:type="dxa" w:w="100"/>
              <w:right w:type="dxa" w:w="120"/>
            </w:tcMar>
            <w:vAlign w:val="top"/>
          </w:tcPr>
          <w:p>
            <w:pPr>
              <w:spacing w:after="16" w:before="0"/>
            </w:pPr>
            <w:r>
              <w:rPr>
                <w:rFonts w:ascii="Arial" w:cs="Arial" w:eastAsia="Arial" w:hAnsi="Arial"/>
                <w:color w:val="4A4A4A"/>
                <w:sz w:val="16"/>
                <w:szCs w:val="16"/>
              </w:rPr>
              <w:t xml:space="preserve">Pre-built responses to the objections you will actually hear. These aren’t arguments — they’re redirects. The format is: acknowledge, reframe, pivot to Forza’s strength. Don’t use these word-for-word. Make them yours.</w:t>
            </w:r>
          </w:p>
          <w:p>
            <w:pPr>
              <w:spacing w:after="16" w:before="0"/>
            </w:pPr>
            <w:r>
              <w:rPr>
                <w:rFonts w:ascii="Arial" w:cs="Arial" w:eastAsia="Arial" w:hAnsi="Arial"/>
                <w:color w:val="4A4A4A"/>
                <w:sz w:val="16"/>
                <w:szCs w:val="16"/>
              </w:rPr>
              <w:t xml:space="preserve">If you hear an objection that’s not on the card, bring it back to Mike. That’s how the card gets better.</w:t>
            </w:r>
          </w:p>
        </w:tc>
      </w:tr>
    </w:tbl>
    <w:p>
      <w:pPr>
        <w:spacing w:after="0" w:before="28"/>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8560"/>
      </w:tblGrid>
      <w:tr>
        <w:tc>
          <w:tcPr>
            <w:tcW w:type="dxa" w:w="2400"/>
            <w:tcBorders>
              <w:top w:val="single" w:color="0D5C63" w:sz="1"/>
              <w:left w:val="single" w:color="0D5C63" w:sz="1"/>
              <w:bottom w:val="single" w:color="0D5C63" w:sz="1"/>
              <w:right w:val="single" w:color="0D5C63" w:sz="1"/>
            </w:tcBorders>
            <w:shd w:fill="0D5C63" w:val="clear"/>
            <w:tcMar>
              <w:top w:type="dxa" w:w="100"/>
              <w:left w:type="dxa" w:w="140"/>
              <w:bottom w:type="dxa" w:w="100"/>
              <w:right w:type="dxa" w:w="120"/>
            </w:tcMar>
            <w:vAlign w:val="top"/>
          </w:tcPr>
          <w:p>
            <w:r>
              <w:rPr>
                <w:rFonts w:ascii="Arial" w:cs="Arial" w:eastAsia="Arial" w:hAnsi="Arial"/>
                <w:sz w:val="20"/>
                <w:szCs w:val="20"/>
              </w:rPr>
              <w:t xml:space="preserve"/>
            </w:r>
          </w:p>
          <w:p>
            <w:pPr>
              <w:spacing w:after="0" w:before="0"/>
            </w:pPr>
            <w:r>
              <w:rPr>
                <w:rFonts w:ascii="Arial" w:cs="Arial" w:eastAsia="Arial" w:hAnsi="Arial"/>
                <w:b/>
                <w:bCs/>
                <w:color w:val="FFFFFF"/>
                <w:sz w:val="17"/>
                <w:szCs w:val="17"/>
              </w:rPr>
              <w:t xml:space="preserve">⚡ QUICK
DISMISSES
(page 2, top)</w:t>
            </w:r>
          </w:p>
        </w:tc>
        <w:tc>
          <w:tcPr>
            <w:tcW w:type="dxa" w:w="8560"/>
            <w:tcBorders>
              <w:top w:val="single" w:color="D9DCE1" w:sz="1"/>
              <w:left w:val="none" w:color="FFFFFF" w:sz="0"/>
              <w:bottom w:val="single" w:color="D9DCE1" w:sz="1"/>
              <w:right w:val="single" w:color="D9DCE1" w:sz="1"/>
            </w:tcBorders>
            <w:shd w:fill="F2F4F7" w:val="clear"/>
            <w:tcMar>
              <w:top w:type="dxa" w:w="100"/>
              <w:left w:type="dxa" w:w="160"/>
              <w:bottom w:type="dxa" w:w="100"/>
              <w:right w:type="dxa" w:w="120"/>
            </w:tcMar>
            <w:vAlign w:val="top"/>
          </w:tcPr>
          <w:p>
            <w:pPr>
              <w:spacing w:after="16" w:before="0"/>
            </w:pPr>
            <w:r>
              <w:rPr>
                <w:rFonts w:ascii="Arial" w:cs="Arial" w:eastAsia="Arial" w:hAnsi="Arial"/>
                <w:color w:val="4A4A4A"/>
                <w:sz w:val="16"/>
                <w:szCs w:val="16"/>
              </w:rPr>
              <w:t xml:space="preserve">Short, confident, conversational statements you use early — before the prospect goes deep with the competitor. These are designed to be said out loud in a conversation, not read. Three sentences or less.</w:t>
            </w:r>
          </w:p>
          <w:p>
            <w:pPr>
              <w:spacing w:after="16" w:before="0"/>
            </w:pPr>
            <w:r>
              <w:rPr>
                <w:rFonts w:ascii="Arial" w:cs="Arial" w:eastAsia="Arial" w:hAnsi="Arial"/>
                <w:color w:val="4A4A4A"/>
                <w:sz w:val="16"/>
                <w:szCs w:val="16"/>
              </w:rPr>
              <w:t xml:space="preserve">Use these when you know the competitor is already in the account or is about to be called. The goal is to plant a question in the prospect’s mind before the competitor plants their own answer.</w:t>
            </w:r>
          </w:p>
        </w:tc>
      </w:tr>
    </w:tbl>
    <w:p>
      <w:pPr>
        <w:spacing w:after="0" w:before="28"/>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856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20"/>
            </w:tcMar>
            <w:vAlign w:val="top"/>
          </w:tcPr>
          <w:p>
            <w:r>
              <w:rPr>
                <w:rFonts w:ascii="Arial" w:cs="Arial" w:eastAsia="Arial" w:hAnsi="Arial"/>
                <w:sz w:val="20"/>
                <w:szCs w:val="20"/>
              </w:rPr>
              <w:t xml:space="preserve"/>
            </w:r>
          </w:p>
          <w:p>
            <w:pPr>
              <w:spacing w:after="0" w:before="0"/>
            </w:pPr>
            <w:r>
              <w:rPr>
                <w:rFonts w:ascii="Arial" w:cs="Arial" w:eastAsia="Arial" w:hAnsi="Arial"/>
                <w:b/>
                <w:bCs/>
                <w:color w:val="FFFFFF"/>
                <w:sz w:val="17"/>
                <w:szCs w:val="17"/>
              </w:rPr>
              <w:t xml:space="preserve">💣 LANDMINES
(page 2, bottom)</w:t>
            </w:r>
          </w:p>
        </w:tc>
        <w:tc>
          <w:tcPr>
            <w:tcW w:type="dxa" w:w="8560"/>
            <w:tcBorders>
              <w:top w:val="single" w:color="D9DCE1" w:sz="1"/>
              <w:left w:val="none" w:color="FFFFFF" w:sz="0"/>
              <w:bottom w:val="single" w:color="D9DCE1" w:sz="1"/>
              <w:right w:val="single" w:color="D9DCE1" w:sz="1"/>
            </w:tcBorders>
            <w:shd w:fill="FFF9E6" w:val="clear"/>
            <w:tcMar>
              <w:top w:type="dxa" w:w="100"/>
              <w:left w:type="dxa" w:w="160"/>
              <w:bottom w:type="dxa" w:w="100"/>
              <w:right w:type="dxa" w:w="120"/>
            </w:tcMar>
            <w:vAlign w:val="top"/>
          </w:tcPr>
          <w:p>
            <w:pPr>
              <w:spacing w:after="16" w:before="0"/>
            </w:pPr>
            <w:r>
              <w:rPr>
                <w:rFonts w:ascii="Arial" w:cs="Arial" w:eastAsia="Arial" w:hAnsi="Arial"/>
                <w:color w:val="4A4A4A"/>
                <w:sz w:val="16"/>
                <w:szCs w:val="16"/>
              </w:rPr>
              <w:t xml:space="preserve">The most powerful section of the card — and the most misused. A landmine is not an attack on the competitor. It is a genuine question you plant in the prospect’s mind before they talk to the competitor.</w:t>
            </w:r>
          </w:p>
          <w:p>
            <w:pPr>
              <w:spacing w:after="16" w:before="0"/>
            </w:pPr>
            <w:r>
              <w:rPr>
                <w:rFonts w:ascii="Arial" w:cs="Arial" w:eastAsia="Arial" w:hAnsi="Arial"/>
                <w:color w:val="4A4A4A"/>
                <w:sz w:val="16"/>
                <w:szCs w:val="16"/>
              </w:rPr>
              <w:t xml:space="preserve">SEED = what you say to set up the question. ARM THE PROSPECT = the exact question you give them to ask. Your job is to get them curious, not angry. If they ask that question and the competitor can’t answer well, you win without saying another word.</w:t>
            </w:r>
          </w:p>
        </w:tc>
      </w:tr>
    </w:tbl>
    <w:p>
      <w:pPr>
        <w:spacing w:after="0" w:before="70"/>
      </w:pPr>
    </w:p>
    <w:p>
      <w:pPr>
        <w:pBdr>
          <w:bottom w:val="single" w:color="F16A26" w:sz="6" w:space="1"/>
        </w:pBdr>
        <w:spacing w:after="50" w:before="0"/>
      </w:pPr>
      <w:r>
        <w:rPr>
          <w:rFonts w:ascii="Arial" w:cs="Arial" w:eastAsia="Arial" w:hAnsi="Arial"/>
          <w:b/>
          <w:bCs/>
          <w:color w:val="1B3A5C"/>
          <w:sz w:val="22"/>
          <w:szCs w:val="22"/>
        </w:rPr>
        <w:t xml:space="preserve">HOW TO USE IT IN THE FIELD — THE SEQUENCE</w:t>
      </w:r>
    </w:p>
    <w:p>
      <w:pPr>
        <w:spacing w:after="0" w:before="44"/>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20"/>
        <w:gridCol w:w="10440"/>
      </w:tblGrid>
      <w:tr>
        <w:tc>
          <w:tcPr>
            <w:tcW w:type="dxa" w:w="520"/>
            <w:tcBorders>
              <w:top w:val="none" w:color="FFFFFF" w:sz="0"/>
              <w:left w:val="none" w:color="FFFFFF" w:sz="0"/>
              <w:bottom w:val="none" w:color="FFFFFF" w:sz="0"/>
              <w:right w:val="none" w:color="FFFFFF" w:sz="0"/>
            </w:tcBorders>
            <w:shd w:fill="1B3A5C" w:val="clear"/>
            <w:tcMar>
              <w:top w:type="dxa" w:w="90"/>
              <w:left w:type="dxa" w:w="100"/>
              <w:bottom w:type="dxa" w:w="90"/>
              <w:right w:type="dxa" w:w="80"/>
            </w:tcMar>
            <w:vAlign w:val="top"/>
          </w:tcPr>
          <w:p>
            <w:pPr>
              <w:jc w:val="center"/>
            </w:pPr>
            <w:r>
              <w:rPr>
                <w:rFonts w:ascii="Arial" w:cs="Arial" w:eastAsia="Arial" w:hAnsi="Arial"/>
                <w:b/>
                <w:bCs/>
                <w:color w:val="FFFFFF"/>
                <w:sz w:val="22"/>
                <w:szCs w:val="22"/>
              </w:rPr>
              <w:t xml:space="preserve">1</w:t>
            </w:r>
          </w:p>
        </w:tc>
        <w:tc>
          <w:tcPr>
            <w:tcW w:type="dxa" w:w="10440"/>
            <w:tcBorders>
              <w:top w:val="none" w:color="FFFFFF" w:sz="0"/>
              <w:left w:val="none" w:color="FFFFFF" w:sz="0"/>
              <w:bottom w:val="single" w:color="D9DCE1" w:sz="1"/>
              <w:right w:val="none" w:color="FFFFFF" w:sz="0"/>
            </w:tcBorders>
            <w:shd w:fill="FFFFFF" w:val="clear"/>
            <w:tcMar>
              <w:top w:type="dxa" w:w="90"/>
              <w:left w:type="dxa" w:w="140"/>
              <w:bottom w:type="dxa" w:w="90"/>
              <w:right w:type="dxa" w:w="100"/>
            </w:tcMar>
          </w:tcPr>
          <w:p>
            <w:pPr>
              <w:spacing w:after="10" w:before="0"/>
            </w:pPr>
            <w:r>
              <w:rPr>
                <w:rFonts w:ascii="Arial" w:cs="Arial" w:eastAsia="Arial" w:hAnsi="Arial"/>
                <w:b/>
                <w:bCs/>
                <w:color w:val="1B3A5C"/>
                <w:sz w:val="18"/>
                <w:szCs w:val="18"/>
              </w:rPr>
              <w:t xml:space="preserve">BEFORE THE CALL — Know who you’re walking in against</w:t>
            </w:r>
          </w:p>
          <w:p>
            <w:pPr>
              <w:spacing w:after="14" w:before="0"/>
            </w:pPr>
            <w:r>
              <w:rPr>
                <w:rFonts w:ascii="Arial" w:cs="Arial" w:eastAsia="Arial" w:hAnsi="Arial"/>
                <w:color w:val="4A4A4A"/>
                <w:sz w:val="15"/>
                <w:szCs w:val="15"/>
              </w:rPr>
              <w:t xml:space="preserve">Find out before you walk in: is the account already on this competitor? Is the competitor about to call on them? Ask your distributor rep. Check the account notes.</w:t>
            </w:r>
          </w:p>
          <w:p>
            <w:pPr>
              <w:spacing w:after="14" w:before="0"/>
            </w:pPr>
            <w:r>
              <w:rPr>
                <w:rFonts w:ascii="Arial" w:cs="Arial" w:eastAsia="Arial" w:hAnsi="Arial"/>
                <w:color w:val="4A4A4A"/>
                <w:sz w:val="15"/>
                <w:szCs w:val="15"/>
              </w:rPr>
              <w:t xml:space="preserve">Pull the right card. Read the ‘Know Your Enemy’ section. Pick the Key Message version that matches who you’re meeting. Memorize the Pitch. Pick one or two Landmines that feel natural for this specific account.</w:t>
            </w:r>
          </w:p>
        </w:tc>
      </w:tr>
    </w:tbl>
    <w:p>
      <w:pPr>
        <w:spacing w:after="0" w:before="28"/>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20"/>
        <w:gridCol w:w="10440"/>
      </w:tblGrid>
      <w:tr>
        <w:tc>
          <w:tcPr>
            <w:tcW w:type="dxa" w:w="520"/>
            <w:tcBorders>
              <w:top w:val="none" w:color="FFFFFF" w:sz="0"/>
              <w:left w:val="none" w:color="FFFFFF" w:sz="0"/>
              <w:bottom w:val="none" w:color="FFFFFF" w:sz="0"/>
              <w:right w:val="none" w:color="FFFFFF" w:sz="0"/>
            </w:tcBorders>
            <w:shd w:fill="0D5C63" w:val="clear"/>
            <w:tcMar>
              <w:top w:type="dxa" w:w="90"/>
              <w:left w:type="dxa" w:w="100"/>
              <w:bottom w:type="dxa" w:w="90"/>
              <w:right w:type="dxa" w:w="80"/>
            </w:tcMar>
            <w:vAlign w:val="top"/>
          </w:tcPr>
          <w:p>
            <w:pPr>
              <w:jc w:val="center"/>
            </w:pPr>
            <w:r>
              <w:rPr>
                <w:rFonts w:ascii="Arial" w:cs="Arial" w:eastAsia="Arial" w:hAnsi="Arial"/>
                <w:b/>
                <w:bCs/>
                <w:color w:val="FFFFFF"/>
                <w:sz w:val="22"/>
                <w:szCs w:val="22"/>
              </w:rPr>
              <w:t xml:space="preserve">2</w:t>
            </w:r>
          </w:p>
        </w:tc>
        <w:tc>
          <w:tcPr>
            <w:tcW w:type="dxa" w:w="10440"/>
            <w:tcBorders>
              <w:top w:val="none" w:color="FFFFFF" w:sz="0"/>
              <w:left w:val="none" w:color="FFFFFF" w:sz="0"/>
              <w:bottom w:val="single" w:color="D9DCE1" w:sz="1"/>
              <w:right w:val="none" w:color="FFFFFF" w:sz="0"/>
            </w:tcBorders>
            <w:shd w:fill="E8F5F6" w:val="clear"/>
            <w:tcMar>
              <w:top w:type="dxa" w:w="90"/>
              <w:left w:type="dxa" w:w="140"/>
              <w:bottom w:type="dxa" w:w="90"/>
              <w:right w:type="dxa" w:w="100"/>
            </w:tcMar>
          </w:tcPr>
          <w:p>
            <w:pPr>
              <w:spacing w:after="10" w:before="0"/>
            </w:pPr>
            <w:r>
              <w:rPr>
                <w:rFonts w:ascii="Arial" w:cs="Arial" w:eastAsia="Arial" w:hAnsi="Arial"/>
                <w:b/>
                <w:bCs/>
                <w:color w:val="0D5C63"/>
                <w:sz w:val="18"/>
                <w:szCs w:val="18"/>
              </w:rPr>
              <w:t xml:space="preserve">EARLY IN THE CONVERSATION — Drop the Pitch, then listen</w:t>
            </w:r>
          </w:p>
          <w:p>
            <w:pPr>
              <w:spacing w:after="14" w:before="0"/>
            </w:pPr>
            <w:r>
              <w:rPr>
                <w:rFonts w:ascii="Arial" w:cs="Arial" w:eastAsia="Arial" w:hAnsi="Arial"/>
                <w:color w:val="4A4A4A"/>
                <w:sz w:val="15"/>
                <w:szCs w:val="15"/>
              </w:rPr>
              <w:t xml:space="preserve">Don’t lead with product. Lead with the frame. Deliver the Pitch sentence early — casually, conversationally, like it’s just a fact you’re sharing.</w:t>
            </w:r>
          </w:p>
          <w:p>
            <w:pPr>
              <w:spacing w:after="14" w:before="0"/>
            </w:pPr>
            <w:r>
              <w:rPr>
                <w:rFonts w:ascii="Arial" w:cs="Arial" w:eastAsia="Arial" w:hAnsi="Arial"/>
                <w:color w:val="4A4A4A"/>
                <w:sz w:val="15"/>
                <w:szCs w:val="15"/>
              </w:rPr>
              <w:t xml:space="preserve">Then listen. Ask what they’re currently using. Ask what’s working and what’s not. The competitor crosswalk table helps you understand exactly what they’re on and what Forza replaces.</w:t>
            </w:r>
          </w:p>
        </w:tc>
      </w:tr>
    </w:tbl>
    <w:p>
      <w:pPr>
        <w:spacing w:after="0" w:before="28"/>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20"/>
        <w:gridCol w:w="10440"/>
      </w:tblGrid>
      <w:tr>
        <w:tc>
          <w:tcPr>
            <w:tcW w:type="dxa" w:w="520"/>
            <w:tcBorders>
              <w:top w:val="none" w:color="FFFFFF" w:sz="0"/>
              <w:left w:val="none" w:color="FFFFFF" w:sz="0"/>
              <w:bottom w:val="none" w:color="FFFFFF" w:sz="0"/>
              <w:right w:val="none" w:color="FFFFFF" w:sz="0"/>
            </w:tcBorders>
            <w:shd w:fill="C07000" w:val="clear"/>
            <w:tcMar>
              <w:top w:type="dxa" w:w="90"/>
              <w:left w:type="dxa" w:w="100"/>
              <w:bottom w:type="dxa" w:w="90"/>
              <w:right w:type="dxa" w:w="80"/>
            </w:tcMar>
            <w:vAlign w:val="top"/>
          </w:tcPr>
          <w:p>
            <w:pPr>
              <w:jc w:val="center"/>
            </w:pPr>
            <w:r>
              <w:rPr>
                <w:rFonts w:ascii="Arial" w:cs="Arial" w:eastAsia="Arial" w:hAnsi="Arial"/>
                <w:b/>
                <w:bCs/>
                <w:color w:val="FFFFFF"/>
                <w:sz w:val="22"/>
                <w:szCs w:val="22"/>
              </w:rPr>
              <w:t xml:space="preserve">3</w:t>
            </w:r>
          </w:p>
        </w:tc>
        <w:tc>
          <w:tcPr>
            <w:tcW w:type="dxa" w:w="10440"/>
            <w:tcBorders>
              <w:top w:val="none" w:color="FFFFFF" w:sz="0"/>
              <w:left w:val="none" w:color="FFFFFF" w:sz="0"/>
              <w:bottom w:val="single" w:color="D9DCE1" w:sz="1"/>
              <w:right w:val="none" w:color="FFFFFF" w:sz="0"/>
            </w:tcBorders>
            <w:shd w:fill="FFF9E6" w:val="clear"/>
            <w:tcMar>
              <w:top w:type="dxa" w:w="90"/>
              <w:left w:type="dxa" w:w="140"/>
              <w:bottom w:type="dxa" w:w="90"/>
              <w:right w:type="dxa" w:w="100"/>
            </w:tcMar>
          </w:tcPr>
          <w:p>
            <w:pPr>
              <w:spacing w:after="10" w:before="0"/>
            </w:pPr>
            <w:r>
              <w:rPr>
                <w:rFonts w:ascii="Arial" w:cs="Arial" w:eastAsia="Arial" w:hAnsi="Arial"/>
                <w:b/>
                <w:bCs/>
                <w:color w:val="C07000"/>
                <w:sz w:val="18"/>
                <w:szCs w:val="18"/>
              </w:rPr>
              <w:t xml:space="preserve">BEFORE THEY TALK TO THE COMPETITOR — Plant the Landmine</w:t>
            </w:r>
          </w:p>
          <w:p>
            <w:pPr>
              <w:spacing w:after="14" w:before="0"/>
            </w:pPr>
            <w:r>
              <w:rPr>
                <w:rFonts w:ascii="Arial" w:cs="Arial" w:eastAsia="Arial" w:hAnsi="Arial"/>
                <w:color w:val="4A4A4A"/>
                <w:sz w:val="15"/>
                <w:szCs w:val="15"/>
              </w:rPr>
              <w:t xml:space="preserve">This is the most critical moment. If you know the prospect is going to take a call from the competitor, or if you know the competitor is already in the account, plant the Seed before you leave.</w:t>
            </w:r>
          </w:p>
          <w:p>
            <w:pPr>
              <w:spacing w:after="14" w:before="0"/>
            </w:pPr>
            <w:r>
              <w:rPr>
                <w:rFonts w:ascii="Arial" w:cs="Arial" w:eastAsia="Arial" w:hAnsi="Arial"/>
                <w:color w:val="4A4A4A"/>
                <w:sz w:val="15"/>
                <w:szCs w:val="15"/>
              </w:rPr>
              <w:t xml:space="preserve">Say the Seed naturally — like you’re sharing an observation, not making an accusation. Then hand them the question: “Worth asking them about that.” You’re not telling them what to think. You’re giving them a reason to ask.</w:t>
            </w:r>
          </w:p>
        </w:tc>
      </w:tr>
    </w:tbl>
    <w:p>
      <w:pPr>
        <w:spacing w:after="0" w:before="28"/>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20"/>
        <w:gridCol w:w="10440"/>
      </w:tblGrid>
      <w:tr>
        <w:tc>
          <w:tcPr>
            <w:tcW w:type="dxa" w:w="520"/>
            <w:tcBorders>
              <w:top w:val="none" w:color="FFFFFF" w:sz="0"/>
              <w:left w:val="none" w:color="FFFFFF" w:sz="0"/>
              <w:bottom w:val="none" w:color="FFFFFF" w:sz="0"/>
              <w:right w:val="none" w:color="FFFFFF" w:sz="0"/>
            </w:tcBorders>
            <w:shd w:fill="1E6B35" w:val="clear"/>
            <w:tcMar>
              <w:top w:type="dxa" w:w="90"/>
              <w:left w:type="dxa" w:w="100"/>
              <w:bottom w:type="dxa" w:w="90"/>
              <w:right w:type="dxa" w:w="80"/>
            </w:tcMar>
            <w:vAlign w:val="top"/>
          </w:tcPr>
          <w:p>
            <w:pPr>
              <w:jc w:val="center"/>
            </w:pPr>
            <w:r>
              <w:rPr>
                <w:rFonts w:ascii="Arial" w:cs="Arial" w:eastAsia="Arial" w:hAnsi="Arial"/>
                <w:b/>
                <w:bCs/>
                <w:color w:val="FFFFFF"/>
                <w:sz w:val="22"/>
                <w:szCs w:val="22"/>
              </w:rPr>
              <w:t xml:space="preserve">4</w:t>
            </w:r>
          </w:p>
        </w:tc>
        <w:tc>
          <w:tcPr>
            <w:tcW w:type="dxa" w:w="10440"/>
            <w:tcBorders>
              <w:top w:val="none" w:color="FFFFFF" w:sz="0"/>
              <w:left w:val="none" w:color="FFFFFF" w:sz="0"/>
              <w:bottom w:val="single" w:color="D9DCE1" w:sz="1"/>
              <w:right w:val="none" w:color="FFFFFF" w:sz="0"/>
            </w:tcBorders>
            <w:shd w:fill="F0FFF4" w:val="clear"/>
            <w:tcMar>
              <w:top w:type="dxa" w:w="90"/>
              <w:left w:type="dxa" w:w="140"/>
              <w:bottom w:type="dxa" w:w="90"/>
              <w:right w:type="dxa" w:w="100"/>
            </w:tcMar>
          </w:tcPr>
          <w:p>
            <w:pPr>
              <w:spacing w:after="10" w:before="0"/>
            </w:pPr>
            <w:r>
              <w:rPr>
                <w:rFonts w:ascii="Arial" w:cs="Arial" w:eastAsia="Arial" w:hAnsi="Arial"/>
                <w:b/>
                <w:bCs/>
                <w:color w:val="1E6B35"/>
                <w:sz w:val="18"/>
                <w:szCs w:val="18"/>
              </w:rPr>
              <w:t xml:space="preserve">WHEN OBJECTIONS COME UP — Redirect, don’t debate</w:t>
            </w:r>
          </w:p>
          <w:p>
            <w:pPr>
              <w:spacing w:after="14" w:before="0"/>
            </w:pPr>
            <w:r>
              <w:rPr>
                <w:rFonts w:ascii="Arial" w:cs="Arial" w:eastAsia="Arial" w:hAnsi="Arial"/>
                <w:color w:val="4A4A4A"/>
                <w:sz w:val="15"/>
                <w:szCs w:val="15"/>
              </w:rPr>
              <w:t xml:space="preserve">When the prospect pushes back — “We’ve always used [competitor]” or “They’re already spec’d in” — go to the Objection Handling section. Acknowledge, reframe, pivot.</w:t>
            </w:r>
          </w:p>
          <w:p>
            <w:pPr>
              <w:spacing w:after="14" w:before="0"/>
            </w:pPr>
            <w:r>
              <w:rPr>
                <w:rFonts w:ascii="Arial" w:cs="Arial" w:eastAsia="Arial" w:hAnsi="Arial"/>
                <w:color w:val="4A4A4A"/>
                <w:sz w:val="15"/>
                <w:szCs w:val="15"/>
              </w:rPr>
              <w:t xml:space="preserve">Do not argue. Do not knock the competitor by name. The goal is to create doubt, not conflict. The prospect has to make the call themselves — your job is to give them the right questions.</w:t>
            </w:r>
          </w:p>
        </w:tc>
      </w:tr>
    </w:tbl>
    <w:p>
      <w:pPr>
        <w:spacing w:after="0" w:before="28"/>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520"/>
        <w:gridCol w:w="10440"/>
      </w:tblGrid>
      <w:tr>
        <w:tc>
          <w:tcPr>
            <w:tcW w:type="dxa" w:w="520"/>
            <w:tcBorders>
              <w:top w:val="none" w:color="FFFFFF" w:sz="0"/>
              <w:left w:val="none" w:color="FFFFFF" w:sz="0"/>
              <w:bottom w:val="none" w:color="FFFFFF" w:sz="0"/>
              <w:right w:val="none" w:color="FFFFFF" w:sz="0"/>
            </w:tcBorders>
            <w:shd w:fill="555555" w:val="clear"/>
            <w:tcMar>
              <w:top w:type="dxa" w:w="90"/>
              <w:left w:type="dxa" w:w="100"/>
              <w:bottom w:type="dxa" w:w="90"/>
              <w:right w:type="dxa" w:w="80"/>
            </w:tcMar>
            <w:vAlign w:val="top"/>
          </w:tcPr>
          <w:p>
            <w:pPr>
              <w:jc w:val="center"/>
            </w:pPr>
            <w:r>
              <w:rPr>
                <w:rFonts w:ascii="Arial" w:cs="Arial" w:eastAsia="Arial" w:hAnsi="Arial"/>
                <w:b/>
                <w:bCs/>
                <w:color w:val="FFFFFF"/>
                <w:sz w:val="22"/>
                <w:szCs w:val="22"/>
              </w:rPr>
              <w:t xml:space="preserve">5</w:t>
            </w:r>
          </w:p>
        </w:tc>
        <w:tc>
          <w:tcPr>
            <w:tcW w:type="dxa" w:w="10440"/>
            <w:tcBorders>
              <w:top w:val="none" w:color="FFFFFF" w:sz="0"/>
              <w:left w:val="none" w:color="FFFFFF" w:sz="0"/>
              <w:bottom w:val="single" w:color="D9DCE1" w:sz="1"/>
              <w:right w:val="none" w:color="FFFFFF" w:sz="0"/>
            </w:tcBorders>
            <w:shd w:fill="FFFFFF" w:val="clear"/>
            <w:tcMar>
              <w:top w:type="dxa" w:w="90"/>
              <w:left w:type="dxa" w:w="140"/>
              <w:bottom w:type="dxa" w:w="90"/>
              <w:right w:type="dxa" w:w="100"/>
            </w:tcMar>
          </w:tcPr>
          <w:p>
            <w:pPr>
              <w:spacing w:after="10" w:before="0"/>
            </w:pPr>
            <w:r>
              <w:rPr>
                <w:rFonts w:ascii="Arial" w:cs="Arial" w:eastAsia="Arial" w:hAnsi="Arial"/>
                <w:b/>
                <w:bCs/>
                <w:color w:val="1B3A5C"/>
                <w:sz w:val="18"/>
                <w:szCs w:val="18"/>
              </w:rPr>
              <w:t xml:space="preserve">AFTER THE CALL — Feed it back</w:t>
            </w:r>
          </w:p>
          <w:p>
            <w:pPr>
              <w:spacing w:after="14" w:before="0"/>
            </w:pPr>
            <w:r>
              <w:rPr>
                <w:rFonts w:ascii="Arial" w:cs="Arial" w:eastAsia="Arial" w:hAnsi="Arial"/>
                <w:color w:val="4A4A4A"/>
                <w:sz w:val="15"/>
                <w:szCs w:val="15"/>
              </w:rPr>
              <w:t xml:space="preserve">If you hear an objection that’s not on the card, or if a landmine landed particularly well — or didn’t — bring that back. The battle cards are only as good as the field intelligence that goes into them.</w:t>
            </w:r>
          </w:p>
          <w:p>
            <w:pPr>
              <w:spacing w:after="14" w:before="0"/>
            </w:pPr>
            <w:r>
              <w:rPr>
                <w:rFonts w:ascii="Arial" w:cs="Arial" w:eastAsia="Arial" w:hAnsi="Arial"/>
                <w:color w:val="4A4A4A"/>
                <w:sz w:val="15"/>
                <w:szCs w:val="15"/>
              </w:rPr>
              <w:t xml:space="preserve">Report wins and losses. That’s how the system improves.</w:t>
            </w:r>
          </w:p>
        </w:tc>
      </w:tr>
    </w:tbl>
    <w:p>
      <w:pPr>
        <w:spacing w:after="0" w:before="70"/>
      </w:pPr>
    </w:p>
    <w:p>
      <w:pPr>
        <w:pBdr>
          <w:bottom w:val="single" w:color="C07000" w:sz="6" w:space="1"/>
        </w:pBdr>
        <w:spacing w:after="50" w:before="0"/>
      </w:pPr>
      <w:r>
        <w:rPr>
          <w:rFonts w:ascii="Arial" w:cs="Arial" w:eastAsia="Arial" w:hAnsi="Arial"/>
          <w:b/>
          <w:bCs/>
          <w:color w:val="1B3A5C"/>
          <w:sz w:val="22"/>
          <w:szCs w:val="22"/>
        </w:rPr>
        <w:t xml:space="preserve">THE ONE RULE ON LANDMINES</w:t>
      </w:r>
    </w:p>
    <w:p>
      <w:pPr>
        <w:spacing w:after="0" w:before="44"/>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20"/>
        <w:gridCol w:w="10840"/>
      </w:tblGrid>
      <w:tr>
        <w:tc>
          <w:tcPr>
            <w:tcW w:type="dxa" w:w="120"/>
            <w:tcBorders>
              <w:top w:val="none" w:color="FFFFFF" w:sz="0"/>
              <w:left w:val="thick" w:color="C07000" w:sz="14"/>
              <w:bottom w:val="none" w:color="FFFFFF" w:sz="0"/>
              <w:right w:val="none" w:color="FFFFFF" w:sz="0"/>
            </w:tcBorders>
            <w:shd w:fill="FFF9E6" w:val="clear"/>
          </w:tcPr>
          <w:p/>
        </w:tc>
        <w:tc>
          <w:tcPr>
            <w:tcW w:type="dxa" w:w="10840"/>
            <w:tcBorders>
              <w:top w:val="none" w:color="FFFFFF" w:sz="0"/>
              <w:left w:val="none" w:color="FFFFFF" w:sz="0"/>
              <w:bottom w:val="none" w:color="FFFFFF" w:sz="0"/>
              <w:right w:val="none" w:color="FFFFFF" w:sz="0"/>
            </w:tcBorders>
            <w:shd w:fill="FFF9E6" w:val="clear"/>
            <w:tcMar>
              <w:top w:type="dxa" w:w="90"/>
              <w:left w:type="dxa" w:w="160"/>
              <w:bottom w:type="dxa" w:w="90"/>
              <w:right w:type="dxa" w:w="120"/>
            </w:tcMar>
          </w:tcPr>
          <w:p>
            <w:r>
              <w:rPr>
                <w:rFonts w:ascii="Arial" w:cs="Arial" w:eastAsia="Arial" w:hAnsi="Arial"/>
                <w:i/>
                <w:iCs/>
                <w:color w:val="4A4A4A"/>
                <w:sz w:val="15"/>
                <w:szCs w:val="15"/>
              </w:rPr>
              <w:t xml:space="preserve">A landmine only works if it’s a real question. If the prospect asks it and the competitor answers it well, that’s information — not a failure. Your job is to make sure the prospect asks the right questions. The competitor’s answers will do the rest.</w:t>
            </w:r>
          </w:p>
        </w:tc>
      </w:tr>
    </w:tbl>
    <w:p>
      <w:pPr>
        <w:spacing w:after="0" w:before="28"/>
      </w:pP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20"/>
        <w:gridCol w:w="10840"/>
      </w:tblGrid>
      <w:tr>
        <w:tc>
          <w:tcPr>
            <w:tcW w:type="dxa" w:w="120"/>
            <w:tcBorders>
              <w:top w:val="none" w:color="FFFFFF" w:sz="0"/>
              <w:left w:val="thick" w:color="2E75B6" w:sz="14"/>
              <w:bottom w:val="none" w:color="FFFFFF" w:sz="0"/>
              <w:right w:val="none" w:color="FFFFFF" w:sz="0"/>
            </w:tcBorders>
            <w:shd w:fill="F2F4F7" w:val="clear"/>
          </w:tcPr>
          <w:p/>
        </w:tc>
        <w:tc>
          <w:tcPr>
            <w:tcW w:type="dxa" w:w="10840"/>
            <w:tcBorders>
              <w:top w:val="none" w:color="FFFFFF" w:sz="0"/>
              <w:left w:val="none" w:color="FFFFFF" w:sz="0"/>
              <w:bottom w:val="none" w:color="FFFFFF" w:sz="0"/>
              <w:right w:val="none" w:color="FFFFFF" w:sz="0"/>
            </w:tcBorders>
            <w:shd w:fill="F2F4F7" w:val="clear"/>
            <w:tcMar>
              <w:top w:type="dxa" w:w="90"/>
              <w:left w:type="dxa" w:w="160"/>
              <w:bottom w:type="dxa" w:w="90"/>
              <w:right w:type="dxa" w:w="120"/>
            </w:tcMar>
          </w:tcPr>
          <w:p>
            <w:r>
              <w:rPr>
                <w:rFonts w:ascii="Arial" w:cs="Arial" w:eastAsia="Arial" w:hAnsi="Arial"/>
                <w:i/>
                <w:iCs/>
                <w:color w:val="4A4A4A"/>
                <w:sz w:val="15"/>
                <w:szCs w:val="15"/>
              </w:rPr>
              <w:t xml:space="preserve">Never say anything in a sales call you can’t back up with a TDS, a published spec, or a documented fact. Every claim on the battle card is sourced. If you’re not sure whether a claim is documented, ask Mike before you use it.</w:t>
            </w:r>
          </w:p>
        </w:tc>
      </w:tr>
    </w:tbl>
    <w:p>
      <w:pPr>
        <w:spacing w:after="0" w:before="60"/>
      </w:pPr>
    </w:p>
    <w:p>
      <w:pPr>
        <w:pBdr>
          <w:top w:val="single" w:color="D9DCE1" w:sz="3" w:space="3"/>
        </w:pBdr>
        <w:spacing w:before="50"/>
        <w:jc w:val="center"/>
      </w:pPr>
      <w:r>
        <w:rPr>
          <w:rFonts w:ascii="Arial" w:cs="Arial" w:eastAsia="Arial" w:hAnsi="Arial"/>
          <w:i/>
          <w:iCs/>
          <w:color w:val="4A4A4A"/>
          <w:sz w:val="13"/>
          <w:szCs w:val="13"/>
        </w:rPr>
        <w:t xml:space="preserve">CONFIDENTIAL — Forza internal use only | July 2026 | Questions on any battle card: contact Mike Guzallis, Product Marketing</w:t>
      </w:r>
    </w:p>
    <w:sectPr>
      <w:pgSz w:w="12240" w:h="15840" w:orient="portrait"/>
      <w:pgMar w:top="640" w:right="640" w:bottom="64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2026-07-23T14:03:00.919Z</dcterms:created>
  <dcterms:modified xsi:type="dcterms:W3CDTF">2026-07-23T14:03:00.937Z</dcterms:modified>
</cp:coreProperties>
</file>

<file path=docProps/custom.xml><?xml version="1.0" encoding="utf-8"?>
<Properties xmlns="http://schemas.openxmlformats.org/officeDocument/2006/custom-properties" xmlns:vt="http://schemas.openxmlformats.org/officeDocument/2006/docPropsVTypes"/>
</file>