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5C" w:val="clear"/>
        <w:spacing w:after="0" w:before="0"/>
        <w:jc w:val="center"/>
      </w:pPr>
      <w:r>
        <w:rPr>
          <w:sz w:val="4"/>
          <w:szCs w:val="4"/>
        </w:rPr>
        <w:t xml:space="preserve"> </w:t>
      </w:r>
    </w:p>
    <w:p>
      <w:pPr>
        <w:shd w:fill="1B3A5C" w:val="clear"/>
        <w:spacing w:after="0" w:before="120"/>
        <w:jc w:val="center"/>
      </w:pPr>
      <w:r>
        <w:rPr>
          <w:rFonts w:ascii="Arial" w:cs="Arial" w:eastAsia="Arial" w:hAnsi="Arial"/>
          <w:b/>
          <w:bCs/>
          <w:color w:val="FFFFFF"/>
          <w:sz w:val="32"/>
          <w:szCs w:val="32"/>
        </w:rPr>
        <w:t xml:space="preserve">FORZA </w:t>
      </w:r>
      <w:r>
        <w:rPr>
          <w:rFonts w:ascii="Arial" w:cs="Arial" w:eastAsia="Arial" w:hAnsi="Arial"/>
          <w:color w:val="AACCEE"/>
          <w:sz w:val="24"/>
          <w:szCs w:val="24"/>
        </w:rPr>
        <w:t xml:space="preserve">COMPETITIVE EXECUTIVE BRIEF</w:t>
      </w:r>
    </w:p>
    <w:p>
      <w:pPr>
        <w:shd w:fill="1B3A5C" w:val="clear"/>
        <w:spacing w:after="0" w:before="0"/>
        <w:jc w:val="center"/>
      </w:pPr>
      <w:r>
        <w:rPr>
          <w:rFonts w:ascii="Arial" w:cs="Arial" w:eastAsia="Arial" w:hAnsi="Arial"/>
          <w:b/>
          <w:bCs/>
          <w:color w:val="F16A26"/>
          <w:sz w:val="26"/>
          <w:szCs w:val="26"/>
        </w:rPr>
        <w:t xml:space="preserve">Henkel Adhesive Technologies</w:t>
      </w:r>
    </w:p>
    <w:p>
      <w:pPr>
        <w:shd w:fill="1B3A5C" w:val="clear"/>
        <w:spacing w:after="100" w:before="0"/>
        <w:jc w:val="center"/>
      </w:pPr>
      <w:r>
        <w:rPr>
          <w:rFonts w:ascii="Arial" w:cs="Arial" w:eastAsia="Arial" w:hAnsi="Arial"/>
          <w:i/>
          <w:iCs/>
          <w:color w:val="D9DCE1"/>
          <w:sz w:val="15"/>
          <w:szCs w:val="15"/>
        </w:rPr>
        <w:t xml:space="preserve">Loctite / Teroson / Technomelt / Bonderite  |  Forza-Relevant Competition Only  |  July 2026  |  CONFIDENTIAL</w:t>
      </w:r>
    </w:p>
    <w:p>
      <w:pPr>
        <w:shd w:fill="1B3A5C" w:val="clear"/>
        <w:spacing w:after="0" w:before="0"/>
        <w:jc w:val="center"/>
      </w:pPr>
      <w:r>
        <w:rPr>
          <w:sz w:val="4"/>
          <w:szCs w:val="4"/>
        </w:rPr>
        <w:t xml:space="preserve"> </w:t>
      </w:r>
    </w:p>
    <w:p>
      <w:pPr>
        <w:spacing w:after="0" w:before="100"/>
      </w:pPr>
    </w:p>
    <w:p>
      <w:pPr>
        <w:pBdr>
          <w:bottom w:val="single" w:color="F16A26" w:sz="8" w:space="2"/>
        </w:pBdr>
        <w:spacing w:after="80" w:before="220"/>
      </w:pPr>
      <w:r>
        <w:rPr>
          <w:rFonts w:ascii="Arial" w:cs="Arial" w:eastAsia="Arial" w:hAnsi="Arial"/>
          <w:b/>
          <w:bCs/>
          <w:color w:val="1B3A5C"/>
          <w:sz w:val="26"/>
          <w:szCs w:val="26"/>
        </w:rPr>
        <w:t xml:space="preserve">1  COMPANY AT A GLANCE</w:t>
      </w:r>
    </w:p>
    <w:p>
      <w:pPr>
        <w:spacing w:after="0" w:before="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4300"/>
      </w:tblGrid>
      <w:tr>
        <w:trPr>
          <w:tblHeader/>
        </w:trPr>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Category</w:t>
            </w:r>
          </w:p>
        </w:tc>
        <w:tc>
          <w:tcPr>
            <w:tcW w:type="dxa" w:w="43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Henkel</w:t>
            </w:r>
          </w:p>
        </w:tc>
        <w:tc>
          <w:tcPr>
            <w:tcW w:type="dxa" w:w="43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jc w:val="center"/>
            </w:pPr>
            <w:r>
              <w:rPr>
                <w:rFonts w:ascii="Arial" w:cs="Arial" w:eastAsia="Arial" w:hAnsi="Arial"/>
                <w:b/>
                <w:bCs/>
                <w:color w:val="FFFFFF"/>
                <w:sz w:val="16"/>
                <w:szCs w:val="16"/>
              </w:rPr>
              <w:t xml:space="preserve">Forza</w:t>
            </w:r>
          </w:p>
        </w:tc>
      </w:tr>
      <w:tr>
        <w:tc>
          <w:tcPr>
            <w:tcW w:type="dxa" w:w="2200"/>
            <w:tcBorders>
              <w:top w:val="single" w:color="D9DCE1" w:sz="1"/>
              <w:left w:val="single" w:color="D9DCE1" w:sz="1"/>
              <w:bottom w:val="single" w:color="D9DCE1" w:sz="1"/>
              <w:right w:val="single" w:color="D9DCE1" w:sz="1"/>
            </w:tcBorders>
            <w:shd w:fill="FFFFFF" w:val="clear"/>
            <w:tcMar>
              <w:top w:type="dxa" w:w="70"/>
              <w:left w:type="dxa" w:w="120"/>
              <w:bottom w:type="dxa" w:w="70"/>
              <w:right w:type="dxa" w:w="120"/>
            </w:tcMar>
          </w:tcPr>
          <w:p>
            <w:r>
              <w:rPr>
                <w:rFonts w:ascii="Arial" w:cs="Arial" w:eastAsia="Arial" w:hAnsi="Arial"/>
                <w:b w:val="false"/>
                <w:bCs w:val="false"/>
                <w:color w:val="4A4A4A"/>
                <w:sz w:val="16"/>
                <w:szCs w:val="16"/>
              </w:rPr>
              <w:t xml:space="preserve">Headquarters</w:t>
            </w:r>
          </w:p>
        </w:tc>
        <w:tc>
          <w:tcPr>
            <w:tcW w:type="dxa" w:w="4300"/>
            <w:tcBorders>
              <w:top w:val="single" w:color="D9DCE1" w:sz="1"/>
              <w:left w:val="single" w:color="D9DCE1" w:sz="1"/>
              <w:bottom w:val="single" w:color="D9DCE1" w:sz="1"/>
              <w:right w:val="single" w:color="D9DCE1" w:sz="1"/>
            </w:tcBorders>
            <w:shd w:fill="FFFFFF" w:val="clear"/>
            <w:tcMar>
              <w:top w:type="dxa" w:w="70"/>
              <w:left w:type="dxa" w:w="120"/>
              <w:bottom w:type="dxa" w:w="70"/>
              <w:right w:type="dxa" w:w="120"/>
            </w:tcMar>
          </w:tcPr>
          <w:p>
            <w:r>
              <w:rPr>
                <w:rFonts w:ascii="Arial" w:cs="Arial" w:eastAsia="Arial" w:hAnsi="Arial"/>
                <w:b w:val="false"/>
                <w:bCs w:val="false"/>
                <w:color w:val="4A4A4A"/>
                <w:sz w:val="16"/>
                <w:szCs w:val="16"/>
              </w:rPr>
              <w:t xml:space="preserve">Düsseldorf, Germany (NYSE: HENKY)</w:t>
            </w:r>
          </w:p>
        </w:tc>
        <w:tc>
          <w:tcPr>
            <w:tcW w:type="dxa" w:w="4300"/>
            <w:tcBorders>
              <w:top w:val="single" w:color="D9DCE1" w:sz="1"/>
              <w:left w:val="single" w:color="D9DCE1" w:sz="1"/>
              <w:bottom w:val="single" w:color="D9DCE1" w:sz="1"/>
              <w:right w:val="single" w:color="D9DCE1" w:sz="1"/>
            </w:tcBorders>
            <w:shd w:fill="FFFFFF" w:val="clear"/>
            <w:tcMar>
              <w:top w:type="dxa" w:w="70"/>
              <w:left w:type="dxa" w:w="120"/>
              <w:bottom w:type="dxa" w:w="70"/>
              <w:right w:type="dxa" w:w="120"/>
            </w:tcMar>
          </w:tcPr>
          <w:p>
            <w:r>
              <w:rPr>
                <w:rFonts w:ascii="Arial" w:cs="Arial" w:eastAsia="Arial" w:hAnsi="Arial"/>
                <w:b w:val="false"/>
                <w:bCs w:val="false"/>
                <w:color w:val="4A4A4A"/>
                <w:sz w:val="16"/>
                <w:szCs w:val="16"/>
              </w:rPr>
              <w:t xml:space="preserve">Council Bluffs, Iowa — 100% Iowa-made</w:t>
            </w:r>
          </w:p>
        </w:tc>
      </w:tr>
      <w:tr>
        <w:tc>
          <w:tcPr>
            <w:tcW w:type="dxa" w:w="2200"/>
            <w:tcBorders>
              <w:top w:val="single" w:color="D9DCE1" w:sz="1"/>
              <w:left w:val="single" w:color="D9DCE1" w:sz="1"/>
              <w:bottom w:val="single" w:color="D9DCE1" w:sz="1"/>
              <w:right w:val="single" w:color="D9DCE1" w:sz="1"/>
            </w:tcBorders>
            <w:shd w:fill="F2F4F7" w:val="clear"/>
            <w:tcMar>
              <w:top w:type="dxa" w:w="70"/>
              <w:left w:type="dxa" w:w="120"/>
              <w:bottom w:type="dxa" w:w="70"/>
              <w:right w:type="dxa" w:w="120"/>
            </w:tcMar>
          </w:tcPr>
          <w:p>
            <w:r>
              <w:rPr>
                <w:rFonts w:ascii="Arial" w:cs="Arial" w:eastAsia="Arial" w:hAnsi="Arial"/>
                <w:b w:val="false"/>
                <w:bCs w:val="false"/>
                <w:color w:val="4A4A4A"/>
                <w:sz w:val="16"/>
                <w:szCs w:val="16"/>
              </w:rPr>
              <w:t xml:space="preserve">Adhesive Revenue</w:t>
            </w:r>
          </w:p>
        </w:tc>
        <w:tc>
          <w:tcPr>
            <w:tcW w:type="dxa" w:w="4300"/>
            <w:tcBorders>
              <w:top w:val="single" w:color="D9DCE1" w:sz="1"/>
              <w:left w:val="single" w:color="D9DCE1" w:sz="1"/>
              <w:bottom w:val="single" w:color="D9DCE1" w:sz="1"/>
              <w:right w:val="single" w:color="D9DCE1" w:sz="1"/>
            </w:tcBorders>
            <w:shd w:fill="F2F4F7" w:val="clear"/>
            <w:tcMar>
              <w:top w:type="dxa" w:w="70"/>
              <w:left w:type="dxa" w:w="120"/>
              <w:bottom w:type="dxa" w:w="70"/>
              <w:right w:type="dxa" w:w="120"/>
            </w:tcMar>
          </w:tcPr>
          <w:p>
            <w:r>
              <w:rPr>
                <w:rFonts w:ascii="Arial" w:cs="Arial" w:eastAsia="Arial" w:hAnsi="Arial"/>
                <w:b w:val="false"/>
                <w:bCs w:val="false"/>
                <w:color w:val="4A4A4A"/>
                <w:sz w:val="16"/>
                <w:szCs w:val="16"/>
              </w:rPr>
              <w:t xml:space="preserve">$11B+ annually — world’s largest adhesive manufacturer</w:t>
            </w:r>
          </w:p>
        </w:tc>
        <w:tc>
          <w:tcPr>
            <w:tcW w:type="dxa" w:w="4300"/>
            <w:tcBorders>
              <w:top w:val="single" w:color="D9DCE1" w:sz="1"/>
              <w:left w:val="single" w:color="D9DCE1" w:sz="1"/>
              <w:bottom w:val="single" w:color="D9DCE1" w:sz="1"/>
              <w:right w:val="single" w:color="D9DCE1" w:sz="1"/>
            </w:tcBorders>
            <w:shd w:fill="F2F4F7" w:val="clear"/>
            <w:tcMar>
              <w:top w:type="dxa" w:w="70"/>
              <w:left w:type="dxa" w:w="120"/>
              <w:bottom w:type="dxa" w:w="70"/>
              <w:right w:type="dxa" w:w="120"/>
            </w:tcMar>
          </w:tcPr>
          <w:p>
            <w:r>
              <w:rPr>
                <w:rFonts w:ascii="Arial" w:cs="Arial" w:eastAsia="Arial" w:hAnsi="Arial"/>
                <w:b w:val="false"/>
                <w:bCs w:val="false"/>
                <w:color w:val="4A4A4A"/>
                <w:sz w:val="16"/>
                <w:szCs w:val="16"/>
              </w:rPr>
              <w:t xml:space="preserve">Family-owned Iowa manufacturer</w:t>
            </w:r>
          </w:p>
        </w:tc>
      </w:tr>
      <w:tr>
        <w:tc>
          <w:tcPr>
            <w:tcW w:type="dxa" w:w="2200"/>
            <w:tcBorders>
              <w:top w:val="single" w:color="D9DCE1" w:sz="1"/>
              <w:left w:val="single" w:color="D9DCE1" w:sz="1"/>
              <w:bottom w:val="single" w:color="D9DCE1" w:sz="1"/>
              <w:right w:val="single" w:color="D9DCE1" w:sz="1"/>
            </w:tcBorders>
            <w:shd w:fill="FFFFFF" w:val="clear"/>
            <w:tcMar>
              <w:top w:type="dxa" w:w="70"/>
              <w:left w:type="dxa" w:w="120"/>
              <w:bottom w:type="dxa" w:w="70"/>
              <w:right w:type="dxa" w:w="120"/>
            </w:tcMar>
          </w:tcPr>
          <w:p>
            <w:r>
              <w:rPr>
                <w:rFonts w:ascii="Arial" w:cs="Arial" w:eastAsia="Arial" w:hAnsi="Arial"/>
                <w:b w:val="false"/>
                <w:bCs w:val="false"/>
                <w:color w:val="4A4A4A"/>
                <w:sz w:val="16"/>
                <w:szCs w:val="16"/>
              </w:rPr>
              <w:t xml:space="preserve">Employees</w:t>
            </w:r>
          </w:p>
        </w:tc>
        <w:tc>
          <w:tcPr>
            <w:tcW w:type="dxa" w:w="4300"/>
            <w:tcBorders>
              <w:top w:val="single" w:color="D9DCE1" w:sz="1"/>
              <w:left w:val="single" w:color="D9DCE1" w:sz="1"/>
              <w:bottom w:val="single" w:color="D9DCE1" w:sz="1"/>
              <w:right w:val="single" w:color="D9DCE1" w:sz="1"/>
            </w:tcBorders>
            <w:shd w:fill="FFFFFF" w:val="clear"/>
            <w:tcMar>
              <w:top w:type="dxa" w:w="70"/>
              <w:left w:type="dxa" w:w="120"/>
              <w:bottom w:type="dxa" w:w="70"/>
              <w:right w:type="dxa" w:w="120"/>
            </w:tcMar>
          </w:tcPr>
          <w:p>
            <w:r>
              <w:rPr>
                <w:rFonts w:ascii="Arial" w:cs="Arial" w:eastAsia="Arial" w:hAnsi="Arial"/>
                <w:b w:val="false"/>
                <w:bCs w:val="false"/>
                <w:color w:val="4A4A4A"/>
                <w:sz w:val="16"/>
                <w:szCs w:val="16"/>
              </w:rPr>
              <w:t xml:space="preserve">50,000+ in adhesive division</w:t>
            </w:r>
          </w:p>
        </w:tc>
        <w:tc>
          <w:tcPr>
            <w:tcW w:type="dxa" w:w="4300"/>
            <w:tcBorders>
              <w:top w:val="single" w:color="D9DCE1" w:sz="1"/>
              <w:left w:val="single" w:color="D9DCE1" w:sz="1"/>
              <w:bottom w:val="single" w:color="D9DCE1" w:sz="1"/>
              <w:right w:val="single" w:color="D9DCE1" w:sz="1"/>
            </w:tcBorders>
            <w:shd w:fill="FFFFFF" w:val="clear"/>
            <w:tcMar>
              <w:top w:type="dxa" w:w="70"/>
              <w:left w:type="dxa" w:w="120"/>
              <w:bottom w:type="dxa" w:w="70"/>
              <w:right w:type="dxa" w:w="120"/>
            </w:tcMar>
          </w:tcPr>
          <w:p>
            <w:r>
              <w:rPr>
                <w:rFonts w:ascii="Arial" w:cs="Arial" w:eastAsia="Arial" w:hAnsi="Arial"/>
                <w:b w:val="false"/>
                <w:bCs w:val="false"/>
                <w:color w:val="4A4A4A"/>
                <w:sz w:val="16"/>
                <w:szCs w:val="16"/>
              </w:rPr>
              <w:t xml:space="preserve">Focused adhesive, sealant, tape manufacturer</w:t>
            </w:r>
          </w:p>
        </w:tc>
      </w:tr>
      <w:tr>
        <w:tc>
          <w:tcPr>
            <w:tcW w:type="dxa" w:w="2200"/>
            <w:tcBorders>
              <w:top w:val="single" w:color="D9DCE1" w:sz="1"/>
              <w:left w:val="single" w:color="D9DCE1" w:sz="1"/>
              <w:bottom w:val="single" w:color="D9DCE1" w:sz="1"/>
              <w:right w:val="single" w:color="D9DCE1" w:sz="1"/>
            </w:tcBorders>
            <w:shd w:fill="F2F4F7" w:val="clear"/>
            <w:tcMar>
              <w:top w:type="dxa" w:w="70"/>
              <w:left w:type="dxa" w:w="120"/>
              <w:bottom w:type="dxa" w:w="70"/>
              <w:right w:type="dxa" w:w="120"/>
            </w:tcMar>
          </w:tcPr>
          <w:p>
            <w:r>
              <w:rPr>
                <w:rFonts w:ascii="Arial" w:cs="Arial" w:eastAsia="Arial" w:hAnsi="Arial"/>
                <w:b w:val="false"/>
                <w:bCs w:val="false"/>
                <w:color w:val="4A4A4A"/>
                <w:sz w:val="16"/>
                <w:szCs w:val="16"/>
              </w:rPr>
              <w:t xml:space="preserve">Core Brands (in scope)</w:t>
            </w:r>
          </w:p>
        </w:tc>
        <w:tc>
          <w:tcPr>
            <w:tcW w:type="dxa" w:w="4300"/>
            <w:tcBorders>
              <w:top w:val="single" w:color="D9DCE1" w:sz="1"/>
              <w:left w:val="single" w:color="D9DCE1" w:sz="1"/>
              <w:bottom w:val="single" w:color="D9DCE1" w:sz="1"/>
              <w:right w:val="single" w:color="D9DCE1" w:sz="1"/>
            </w:tcBorders>
            <w:shd w:fill="F2F4F7" w:val="clear"/>
            <w:tcMar>
              <w:top w:type="dxa" w:w="70"/>
              <w:left w:type="dxa" w:w="120"/>
              <w:bottom w:type="dxa" w:w="70"/>
              <w:right w:type="dxa" w:w="120"/>
            </w:tcMar>
          </w:tcPr>
          <w:p>
            <w:r>
              <w:rPr>
                <w:rFonts w:ascii="Arial" w:cs="Arial" w:eastAsia="Arial" w:hAnsi="Arial"/>
                <w:b w:val="false"/>
                <w:bCs w:val="false"/>
                <w:color w:val="4A4A4A"/>
                <w:sz w:val="16"/>
                <w:szCs w:val="16"/>
              </w:rPr>
              <w:t xml:space="preserve">Loctite, Teroson, Technomelt, Bonderite</w:t>
            </w:r>
          </w:p>
        </w:tc>
        <w:tc>
          <w:tcPr>
            <w:tcW w:type="dxa" w:w="4300"/>
            <w:tcBorders>
              <w:top w:val="single" w:color="D9DCE1" w:sz="1"/>
              <w:left w:val="single" w:color="D9DCE1" w:sz="1"/>
              <w:bottom w:val="single" w:color="D9DCE1" w:sz="1"/>
              <w:right w:val="single" w:color="D9DCE1" w:sz="1"/>
            </w:tcBorders>
            <w:shd w:fill="F2F4F7" w:val="clear"/>
            <w:tcMar>
              <w:top w:type="dxa" w:w="70"/>
              <w:left w:type="dxa" w:w="120"/>
              <w:bottom w:type="dxa" w:w="70"/>
              <w:right w:type="dxa" w:w="120"/>
            </w:tcMar>
          </w:tcPr>
          <w:p>
            <w:r>
              <w:rPr>
                <w:rFonts w:ascii="Arial" w:cs="Arial" w:eastAsia="Arial" w:hAnsi="Arial"/>
                <w:b w:val="false"/>
                <w:bCs w:val="false"/>
                <w:color w:val="4A4A4A"/>
                <w:sz w:val="16"/>
                <w:szCs w:val="16"/>
              </w:rPr>
              <w:t xml:space="preserve">ForzaBond, ForzaSeal, ForzaTape, RuggedRed</w:t>
            </w:r>
          </w:p>
        </w:tc>
      </w:tr>
      <w:tr>
        <w:tc>
          <w:tcPr>
            <w:tcW w:type="dxa" w:w="2200"/>
            <w:tcBorders>
              <w:top w:val="single" w:color="D9DCE1" w:sz="1"/>
              <w:left w:val="single" w:color="D9DCE1" w:sz="1"/>
              <w:bottom w:val="single" w:color="D9DCE1" w:sz="1"/>
              <w:right w:val="single" w:color="D9DCE1" w:sz="1"/>
            </w:tcBorders>
            <w:shd w:fill="FFFFFF" w:val="clear"/>
            <w:tcMar>
              <w:top w:type="dxa" w:w="70"/>
              <w:left w:type="dxa" w:w="120"/>
              <w:bottom w:type="dxa" w:w="70"/>
              <w:right w:type="dxa" w:w="120"/>
            </w:tcMar>
          </w:tcPr>
          <w:p>
            <w:r>
              <w:rPr>
                <w:rFonts w:ascii="Arial" w:cs="Arial" w:eastAsia="Arial" w:hAnsi="Arial"/>
                <w:b w:val="false"/>
                <w:bCs w:val="false"/>
                <w:color w:val="4A4A4A"/>
                <w:sz w:val="16"/>
                <w:szCs w:val="16"/>
              </w:rPr>
              <w:t xml:space="preserve">Distribution Model</w:t>
            </w:r>
          </w:p>
        </w:tc>
        <w:tc>
          <w:tcPr>
            <w:tcW w:type="dxa" w:w="4300"/>
            <w:tcBorders>
              <w:top w:val="single" w:color="D9DCE1" w:sz="1"/>
              <w:left w:val="single" w:color="D9DCE1" w:sz="1"/>
              <w:bottom w:val="single" w:color="D9DCE1" w:sz="1"/>
              <w:right w:val="single" w:color="D9DCE1" w:sz="1"/>
            </w:tcBorders>
            <w:shd w:fill="FFFFFF" w:val="clear"/>
            <w:tcMar>
              <w:top w:type="dxa" w:w="70"/>
              <w:left w:type="dxa" w:w="120"/>
              <w:bottom w:type="dxa" w:w="70"/>
              <w:right w:type="dxa" w:w="120"/>
            </w:tcMar>
          </w:tcPr>
          <w:p>
            <w:r>
              <w:rPr>
                <w:rFonts w:ascii="Arial" w:cs="Arial" w:eastAsia="Arial" w:hAnsi="Arial"/>
                <w:b w:val="false"/>
                <w:bCs w:val="false"/>
                <w:color w:val="4A4A4A"/>
                <w:sz w:val="16"/>
                <w:szCs w:val="16"/>
              </w:rPr>
              <w:t xml:space="preserve">Multi-tier: Fastenal, Grainger, industrial distributors</w:t>
            </w:r>
          </w:p>
        </w:tc>
        <w:tc>
          <w:tcPr>
            <w:tcW w:type="dxa" w:w="4300"/>
            <w:tcBorders>
              <w:top w:val="single" w:color="D9DCE1" w:sz="1"/>
              <w:left w:val="single" w:color="D9DCE1" w:sz="1"/>
              <w:bottom w:val="single" w:color="D9DCE1" w:sz="1"/>
              <w:right w:val="single" w:color="D9DCE1" w:sz="1"/>
            </w:tcBorders>
            <w:shd w:fill="FFFFFF" w:val="clear"/>
            <w:tcMar>
              <w:top w:type="dxa" w:w="70"/>
              <w:left w:type="dxa" w:w="120"/>
              <w:bottom w:type="dxa" w:w="70"/>
              <w:right w:type="dxa" w:w="120"/>
            </w:tcMar>
          </w:tcPr>
          <w:p>
            <w:r>
              <w:rPr>
                <w:rFonts w:ascii="Arial" w:cs="Arial" w:eastAsia="Arial" w:hAnsi="Arial"/>
                <w:b w:val="false"/>
                <w:bCs w:val="false"/>
                <w:color w:val="4A4A4A"/>
                <w:sz w:val="16"/>
                <w:szCs w:val="16"/>
              </w:rPr>
              <w:t xml:space="preserve">Direct manufacturer pricing</w:t>
            </w:r>
          </w:p>
        </w:tc>
      </w:tr>
      <w:tr>
        <w:tc>
          <w:tcPr>
            <w:tcW w:type="dxa" w:w="2200"/>
            <w:tcBorders>
              <w:top w:val="single" w:color="D9DCE1" w:sz="1"/>
              <w:left w:val="single" w:color="D9DCE1" w:sz="1"/>
              <w:bottom w:val="single" w:color="D9DCE1" w:sz="1"/>
              <w:right w:val="single" w:color="D9DCE1" w:sz="1"/>
            </w:tcBorders>
            <w:shd w:fill="F2F4F7" w:val="clear"/>
            <w:tcMar>
              <w:top w:type="dxa" w:w="70"/>
              <w:left w:type="dxa" w:w="120"/>
              <w:bottom w:type="dxa" w:w="70"/>
              <w:right w:type="dxa" w:w="120"/>
            </w:tcMar>
          </w:tcPr>
          <w:p>
            <w:r>
              <w:rPr>
                <w:rFonts w:ascii="Arial" w:cs="Arial" w:eastAsia="Arial" w:hAnsi="Arial"/>
                <w:b w:val="false"/>
                <w:bCs w:val="false"/>
                <w:color w:val="4A4A4A"/>
                <w:sz w:val="16"/>
                <w:szCs w:val="16"/>
              </w:rPr>
              <w:t xml:space="preserve">Rep Coverage</w:t>
            </w:r>
          </w:p>
        </w:tc>
        <w:tc>
          <w:tcPr>
            <w:tcW w:type="dxa" w:w="4300"/>
            <w:tcBorders>
              <w:top w:val="single" w:color="D9DCE1" w:sz="1"/>
              <w:left w:val="single" w:color="D9DCE1" w:sz="1"/>
              <w:bottom w:val="single" w:color="D9DCE1" w:sz="1"/>
              <w:right w:val="single" w:color="D9DCE1" w:sz="1"/>
            </w:tcBorders>
            <w:shd w:fill="F2F4F7" w:val="clear"/>
            <w:tcMar>
              <w:top w:type="dxa" w:w="70"/>
              <w:left w:type="dxa" w:w="120"/>
              <w:bottom w:type="dxa" w:w="70"/>
              <w:right w:type="dxa" w:w="120"/>
            </w:tcMar>
          </w:tcPr>
          <w:p>
            <w:r>
              <w:rPr>
                <w:rFonts w:ascii="Arial" w:cs="Arial" w:eastAsia="Arial" w:hAnsi="Arial"/>
                <w:b w:val="false"/>
                <w:bCs w:val="false"/>
                <w:color w:val="4A4A4A"/>
                <w:sz w:val="16"/>
                <w:szCs w:val="16"/>
              </w:rPr>
              <w:t xml:space="preserve">Generalist: electronics, aerospace, medical, packaging, construction</w:t>
            </w:r>
          </w:p>
        </w:tc>
        <w:tc>
          <w:tcPr>
            <w:tcW w:type="dxa" w:w="4300"/>
            <w:tcBorders>
              <w:top w:val="single" w:color="D9DCE1" w:sz="1"/>
              <w:left w:val="single" w:color="D9DCE1" w:sz="1"/>
              <w:bottom w:val="single" w:color="D9DCE1" w:sz="1"/>
              <w:right w:val="single" w:color="D9DCE1" w:sz="1"/>
            </w:tcBorders>
            <w:shd w:fill="F2F4F7" w:val="clear"/>
            <w:tcMar>
              <w:top w:type="dxa" w:w="70"/>
              <w:left w:type="dxa" w:w="120"/>
              <w:bottom w:type="dxa" w:w="70"/>
              <w:right w:type="dxa" w:w="120"/>
            </w:tcMar>
          </w:tcPr>
          <w:p>
            <w:r>
              <w:rPr>
                <w:rFonts w:ascii="Arial" w:cs="Arial" w:eastAsia="Arial" w:hAnsi="Arial"/>
                <w:b w:val="false"/>
                <w:bCs w:val="false"/>
                <w:color w:val="4A4A4A"/>
                <w:sz w:val="16"/>
                <w:szCs w:val="16"/>
              </w:rPr>
              <w:t xml:space="preserve">Specialist: adhesives, sealants, tapes only</w:t>
            </w:r>
          </w:p>
        </w:tc>
      </w:tr>
    </w:tbl>
    <w:p>
      <w:pPr>
        <w:spacing w:after="0" w:before="8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0"/>
        <w:gridCol w:w="10690"/>
      </w:tblGrid>
      <w:tr>
        <w:tc>
          <w:tcPr>
            <w:tcW w:type="dxa" w:w="110"/>
            <w:tcBorders>
              <w:top w:val="none" w:color="FFFFFF" w:sz="0"/>
              <w:left w:val="thick" w:color="F16A26" w:sz="16"/>
              <w:bottom w:val="none" w:color="FFFFFF" w:sz="0"/>
              <w:right w:val="none" w:color="FFFFFF" w:sz="0"/>
            </w:tcBorders>
            <w:shd w:fill="F2F4F7" w:val="clear"/>
          </w:tcPr>
          <w:p/>
        </w:tc>
        <w:tc>
          <w:tcPr>
            <w:tcW w:type="dxa" w:w="10690"/>
            <w:tcBorders>
              <w:top w:val="none" w:color="FFFFFF" w:sz="0"/>
              <w:left w:val="none" w:color="FFFFFF" w:sz="0"/>
              <w:bottom w:val="none" w:color="FFFFFF" w:sz="0"/>
              <w:right w:val="none" w:color="FFFFFF" w:sz="0"/>
            </w:tcBorders>
            <w:shd w:fill="F2F4F7" w:val="clear"/>
            <w:tcMar>
              <w:top w:type="dxa" w:w="100"/>
              <w:left w:type="dxa" w:w="200"/>
              <w:bottom w:type="dxa" w:w="100"/>
              <w:right w:type="dxa" w:w="160"/>
            </w:tcMar>
          </w:tcPr>
          <w:p>
            <w:r>
              <w:rPr>
                <w:rFonts w:ascii="Arial" w:cs="Arial" w:eastAsia="Arial" w:hAnsi="Arial"/>
                <w:b/>
                <w:bCs/>
                <w:color w:val="1B3A5C"/>
                <w:sz w:val="18"/>
                <w:szCs w:val="18"/>
              </w:rPr>
              <w:t xml:space="preserve">Henkel is the world’s largest adhesive manufacturer. Their competitive strength against Forza is not rooted in superior chemistry — it is rooted in brand recognition (Loctite), distribution reach, and the inertia of existing specifications. The frame for every Henkel conversation: Iowa-made family manufacturer vs. $10B+ German conglomerate. When you call Forza, you get the chemist. When you call Loctite, you get a distributor.</w:t>
            </w:r>
          </w:p>
        </w:tc>
      </w:tr>
    </w:tbl>
    <w:p>
      <w:pPr>
        <w:spacing w:after="0" w:before="100"/>
      </w:pPr>
    </w:p>
    <w:p>
      <w:pPr>
        <w:pBdr>
          <w:bottom w:val="single" w:color="F16A26" w:sz="8" w:space="2"/>
        </w:pBdr>
        <w:spacing w:after="80" w:before="220"/>
      </w:pPr>
      <w:r>
        <w:rPr>
          <w:rFonts w:ascii="Arial" w:cs="Arial" w:eastAsia="Arial" w:hAnsi="Arial"/>
          <w:b/>
          <w:bCs/>
          <w:color w:val="1B3A5C"/>
          <w:sz w:val="26"/>
          <w:szCs w:val="26"/>
        </w:rPr>
        <w:t xml:space="preserve">2  FORZA-RELEVANT BRANDS &amp; PRODUCTS</w:t>
      </w:r>
    </w:p>
    <w:p>
      <w:pPr>
        <w:spacing w:after="0" w:before="60"/>
      </w:pPr>
    </w:p>
    <w:p>
      <w:pPr>
        <w:spacing w:after="50" w:before="140"/>
      </w:pPr>
      <w:r>
        <w:rPr>
          <w:rFonts w:ascii="Arial" w:cs="Arial" w:eastAsia="Arial" w:hAnsi="Arial"/>
          <w:b/>
          <w:bCs/>
          <w:color w:val="2E75B6"/>
          <w:sz w:val="20"/>
          <w:szCs w:val="20"/>
        </w:rPr>
        <w:t xml:space="preserve">Loctite — Structural Adhesives (vs. ForzaBond OA/R-series)</w:t>
      </w:r>
    </w:p>
    <w:p>
      <w:pPr>
        <w:spacing w:after="50" w:before="0"/>
      </w:pPr>
      <w:r>
        <w:rPr>
          <w:rFonts w:ascii="Arial" w:cs="Arial" w:eastAsia="Arial" w:hAnsi="Arial"/>
          <w:color w:val="4A4A4A"/>
          <w:sz w:val="18"/>
          <w:szCs w:val="18"/>
        </w:rPr>
        <w:t xml:space="preserve">Loctite’s H8000 SpeedBonder family is the dominant 2-part methacrylate structural adhesive in the US market — H8000, H8003, H8100, H8600, H3300. These compete directly with Forza OA200 and TC471. Loctite E-series epoxies (E-05MR, E-20HP, E-30CL) compete with Forza R160 and OA300. Loctite CA adhesives (401, 406, 495) compete with Forza CA1000, CA1500, CA2400.</w:t>
      </w:r>
    </w:p>
    <w:p>
      <w:pPr>
        <w:spacing w:after="0" w:before="40"/>
      </w:pPr>
    </w:p>
    <w:p>
      <w:pPr>
        <w:spacing w:after="50" w:before="140"/>
      </w:pPr>
      <w:r>
        <w:rPr>
          <w:rFonts w:ascii="Arial" w:cs="Arial" w:eastAsia="Arial" w:hAnsi="Arial"/>
          <w:b/>
          <w:bCs/>
          <w:color w:val="2E75B6"/>
          <w:sz w:val="20"/>
          <w:szCs w:val="20"/>
        </w:rPr>
        <w:t xml:space="preserve">Teroson — Transportation &amp; Automotive Sealants (vs. ForzaSeal T-OS151 / T-OA156)</w:t>
      </w:r>
    </w:p>
    <w:p>
      <w:pPr>
        <w:spacing w:after="50" w:before="0"/>
      </w:pPr>
      <w:r>
        <w:rPr>
          <w:rFonts w:ascii="Arial" w:cs="Arial" w:eastAsia="Arial" w:hAnsi="Arial"/>
          <w:color w:val="4A4A4A"/>
          <w:sz w:val="18"/>
          <w:szCs w:val="18"/>
        </w:rPr>
        <w:t xml:space="preserve">Teroson is Henkel’s automotive and transportation sealant brand. The MS 930 family (1-part SMP, primerless, multi-substrate) competes directly with Forza T-OS151 and C-OS9. Teroson MS 9222 and MS 9381 are transportation-specific — cargo trailer, painted aluminum, heavy equipment bonding — competing with Forza T-OA156 and T-OS151. Teroson PU 8596/8598 are 1-part PU transportation sealants competing with T-OA156.</w:t>
      </w:r>
    </w:p>
    <w:p>
      <w:pPr>
        <w:spacing w:after="0" w:before="40"/>
      </w:pPr>
    </w:p>
    <w:p>
      <w:pPr>
        <w:spacing w:after="50" w:before="140"/>
      </w:pPr>
      <w:r>
        <w:rPr>
          <w:rFonts w:ascii="Arial" w:cs="Arial" w:eastAsia="Arial" w:hAnsi="Arial"/>
          <w:b/>
          <w:bCs/>
          <w:color w:val="2E75B6"/>
          <w:sz w:val="20"/>
          <w:szCs w:val="20"/>
        </w:rPr>
        <w:t xml:space="preserve">Technomelt — Hot Melt Adhesives (vs. Forza H-series)</w:t>
      </w:r>
    </w:p>
    <w:p>
      <w:pPr>
        <w:spacing w:after="50" w:before="0"/>
      </w:pPr>
      <w:r>
        <w:rPr>
          <w:rFonts w:ascii="Arial" w:cs="Arial" w:eastAsia="Arial" w:hAnsi="Arial"/>
          <w:color w:val="4A4A4A"/>
          <w:sz w:val="18"/>
          <w:szCs w:val="18"/>
        </w:rPr>
        <w:t xml:space="preserve">Technomelt is Henkel’s hot melt brand covering EVA packaging (vs. Forza H117/H158/H163/H164), polyolefin foam/fabric bonding (vs. Forza H103/H176), and reactive PUR hot melt (vs. Forza H167 potting/encapsulating). Technomelt is primarily positioned for packaging and woodworking production lines.</w:t>
      </w:r>
    </w:p>
    <w:p>
      <w:pPr>
        <w:spacing w:after="0" w:before="40"/>
      </w:pPr>
    </w:p>
    <w:p>
      <w:pPr>
        <w:spacing w:after="50" w:before="140"/>
      </w:pPr>
      <w:r>
        <w:rPr>
          <w:rFonts w:ascii="Arial" w:cs="Arial" w:eastAsia="Arial" w:hAnsi="Arial"/>
          <w:b/>
          <w:bCs/>
          <w:color w:val="2E75B6"/>
          <w:sz w:val="20"/>
          <w:szCs w:val="20"/>
        </w:rPr>
        <w:t xml:space="preserve">Bonderite — Surface Prep (vs. Forza OSA line)</w:t>
      </w:r>
    </w:p>
    <w:p>
      <w:pPr>
        <w:spacing w:after="50" w:before="0"/>
      </w:pPr>
      <w:r>
        <w:rPr>
          <w:rFonts w:ascii="Arial" w:cs="Arial" w:eastAsia="Arial" w:hAnsi="Arial"/>
          <w:color w:val="4A4A4A"/>
          <w:sz w:val="18"/>
          <w:szCs w:val="18"/>
        </w:rPr>
        <w:t xml:space="preserve">Bonderite C-IC 8200 and Teroson VR 10 are IPA-based surface activators for pre-bond substrate preparation — competing directly with Forza’s OSA, T-OSA155, R-OSA, M-OSA783, and C-OSA adhesion primer line.</w:t>
      </w:r>
    </w:p>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0"/>
        <w:gridCol w:w="10690"/>
      </w:tblGrid>
      <w:tr>
        <w:tc>
          <w:tcPr>
            <w:tcW w:type="dxa" w:w="110"/>
            <w:tcBorders>
              <w:top w:val="none" w:color="FFFFFF" w:sz="0"/>
              <w:left w:val="thick" w:color="7B1010" w:sz="16"/>
              <w:bottom w:val="none" w:color="FFFFFF" w:sz="0"/>
              <w:right w:val="none" w:color="FFFFFF" w:sz="0"/>
            </w:tcBorders>
            <w:shd w:fill="FFF5F5" w:val="clear"/>
          </w:tcPr>
          <w:p/>
        </w:tc>
        <w:tc>
          <w:tcPr>
            <w:tcW w:type="dxa" w:w="10690"/>
            <w:tcBorders>
              <w:top w:val="none" w:color="FFFFFF" w:sz="0"/>
              <w:left w:val="none" w:color="FFFFFF" w:sz="0"/>
              <w:bottom w:val="none" w:color="FFFFFF" w:sz="0"/>
              <w:right w:val="none" w:color="FFFFFF" w:sz="0"/>
            </w:tcBorders>
            <w:shd w:fill="FFF5F5" w:val="clear"/>
            <w:tcMar>
              <w:top w:type="dxa" w:w="100"/>
              <w:left w:type="dxa" w:w="200"/>
              <w:bottom w:type="dxa" w:w="100"/>
              <w:right w:type="dxa" w:w="160"/>
            </w:tcMar>
          </w:tcPr>
          <w:p>
            <w:r>
              <w:rPr>
                <w:rFonts w:ascii="Arial" w:cs="Arial" w:eastAsia="Arial" w:hAnsi="Arial"/>
                <w:b/>
                <w:bCs/>
                <w:color w:val="7B1010"/>
                <w:sz w:val="18"/>
                <w:szCs w:val="18"/>
              </w:rPr>
              <w:t xml:space="preserve">NOT IN SCOPE — The following Henkel/Loctite categories have no Forza equivalent and are not competitive considerations: threadlockers (222/242/271), anaerobic sealants, light-cure adhesives, electronics/semiconductor, thermal management, medical/dental, surface conversion coatings, metal phosphating. Do not position Forza against these categories.</w:t>
            </w:r>
          </w:p>
        </w:tc>
      </w:tr>
    </w:tbl>
    <w:p>
      <w:pPr>
        <w:spacing w:after="0" w:before="100"/>
      </w:pPr>
    </w:p>
    <w:p>
      <w:pPr>
        <w:pBdr>
          <w:bottom w:val="single" w:color="F16A26" w:sz="8" w:space="2"/>
        </w:pBdr>
        <w:spacing w:after="80" w:before="220"/>
      </w:pPr>
      <w:r>
        <w:rPr>
          <w:rFonts w:ascii="Arial" w:cs="Arial" w:eastAsia="Arial" w:hAnsi="Arial"/>
          <w:b/>
          <w:bCs/>
          <w:color w:val="1B3A5C"/>
          <w:sz w:val="26"/>
          <w:szCs w:val="26"/>
        </w:rPr>
        <w:t xml:space="preserve">3  COMPETITIVE POSITIONING</w:t>
      </w:r>
    </w:p>
    <w:p>
      <w:pPr>
        <w:spacing w:after="0" w:before="6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300"/>
        <w:gridCol w:w="5500"/>
      </w:tblGrid>
      <w:tr>
        <w:tc>
          <w:tcPr>
            <w:tcW w:type="dxa" w:w="5300"/>
            <w:tcBorders>
              <w:top w:val="none" w:color="FFFFFF" w:sz="0"/>
              <w:left w:val="none" w:color="FFFFFF" w:sz="0"/>
              <w:bottom w:val="none" w:color="FFFFFF" w:sz="0"/>
              <w:right w:val="none" w:color="FFFFFF" w:sz="0"/>
            </w:tcBorders>
            <w:shd w:fill="F0FFF4" w:val="clear"/>
            <w:tcMar>
              <w:top w:type="dxa" w:w="0"/>
              <w:left w:type="dxa" w:w="0"/>
              <w:bottom w:type="dxa" w:w="0"/>
              <w:right w:type="dxa" w:w="80"/>
            </w:tcMar>
          </w:tcPr>
          <w:p>
            <w:pPr>
              <w:spacing w:after="50" w:before="80"/>
            </w:pPr>
            <w:r>
              <w:rPr>
                <w:rFonts w:ascii="Arial" w:cs="Arial" w:eastAsia="Arial" w:hAnsi="Arial"/>
                <w:b/>
                <w:bCs/>
                <w:color w:val="1E6B35"/>
                <w:sz w:val="20"/>
                <w:szCs w:val="20"/>
              </w:rPr>
              <w:t xml:space="preserve">Where Forza Wins</w:t>
            </w:r>
          </w:p>
          <w:p>
            <w:pPr>
              <w:spacing w:after="26" w:before="0"/>
              <w:ind w:left="360" w:hanging="200"/>
            </w:pPr>
            <w:r>
              <w:rPr>
                <w:rFonts w:ascii="Arial" w:cs="Arial" w:eastAsia="Arial" w:hAnsi="Arial"/>
                <w:color w:val="4A4A4A"/>
                <w:sz w:val="17"/>
                <w:szCs w:val="17"/>
              </w:rPr>
              <w:t xml:space="preserve">•  Iowa family manufacturer vs. $10B+ German conglomerate — direct manufacturer relationship</w:t>
            </w:r>
          </w:p>
          <w:p>
            <w:pPr>
              <w:spacing w:after="26" w:before="0"/>
              <w:ind w:left="360" w:hanging="200"/>
            </w:pPr>
            <w:r>
              <w:rPr>
                <w:rFonts w:ascii="Arial" w:cs="Arial" w:eastAsia="Arial" w:hAnsi="Arial"/>
                <w:color w:val="4A4A4A"/>
                <w:sz w:val="17"/>
                <w:szCs w:val="17"/>
              </w:rPr>
              <w:t xml:space="preserve">•  Call Forza, get the chemist. Call Loctite, get a distributor rep</w:t>
            </w:r>
          </w:p>
          <w:p>
            <w:pPr>
              <w:spacing w:after="26" w:before="0"/>
              <w:ind w:left="360" w:hanging="200"/>
            </w:pPr>
            <w:r>
              <w:rPr>
                <w:rFonts w:ascii="Arial" w:cs="Arial" w:eastAsia="Arial" w:hAnsi="Arial"/>
                <w:color w:val="4A4A4A"/>
                <w:sz w:val="17"/>
                <w:szCs w:val="17"/>
              </w:rPr>
              <w:t xml:space="preserve">•  Forza has won business directly from Loctite/Henkel on relationship and responsiveness</w:t>
            </w:r>
          </w:p>
          <w:p>
            <w:pPr>
              <w:spacing w:after="26" w:before="0"/>
              <w:ind w:left="360" w:hanging="200"/>
            </w:pPr>
            <w:r>
              <w:rPr>
                <w:rFonts w:ascii="Arial" w:cs="Arial" w:eastAsia="Arial" w:hAnsi="Arial"/>
                <w:color w:val="4A4A4A"/>
                <w:sz w:val="17"/>
                <w:szCs w:val="17"/>
              </w:rPr>
              <w:t xml:space="preserve">•  Direct manufacturer pricing — no Henkel multi-tier distributor margin stack</w:t>
            </w:r>
          </w:p>
          <w:p>
            <w:pPr>
              <w:spacing w:after="26" w:before="0"/>
              <w:ind w:left="360" w:hanging="200"/>
            </w:pPr>
            <w:r>
              <w:rPr>
                <w:rFonts w:ascii="Arial" w:cs="Arial" w:eastAsia="Arial" w:hAnsi="Arial"/>
                <w:color w:val="4A4A4A"/>
                <w:sz w:val="17"/>
                <w:szCs w:val="17"/>
              </w:rPr>
              <w:t xml:space="preserve">•  ForzaTape: Henkel/Loctite has no tape product line</w:t>
            </w:r>
          </w:p>
          <w:p>
            <w:pPr>
              <w:spacing w:after="26" w:before="0"/>
              <w:ind w:left="360" w:hanging="200"/>
            </w:pPr>
            <w:r>
              <w:rPr>
                <w:rFonts w:ascii="Arial" w:cs="Arial" w:eastAsia="Arial" w:hAnsi="Arial"/>
                <w:color w:val="4A4A4A"/>
                <w:sz w:val="17"/>
                <w:szCs w:val="17"/>
              </w:rPr>
              <w:t xml:space="preserve">•  RuggedRed: Henkel has no dedicated industrial cleaner brand in this space</w:t>
            </w:r>
          </w:p>
          <w:p>
            <w:pPr>
              <w:spacing w:after="26" w:before="0"/>
              <w:ind w:left="360" w:hanging="200"/>
            </w:pPr>
            <w:r>
              <w:rPr>
                <w:rFonts w:ascii="Arial" w:cs="Arial" w:eastAsia="Arial" w:hAnsi="Arial"/>
                <w:color w:val="4A4A4A"/>
                <w:sz w:val="17"/>
                <w:szCs w:val="17"/>
              </w:rPr>
              <w:t xml:space="preserve">•  Forza canister spray adhesive system: Loctite has no canister spray adhesive</w:t>
            </w:r>
          </w:p>
          <w:p>
            <w:pPr>
              <w:spacing w:after="26" w:before="0"/>
              <w:ind w:left="360" w:hanging="200"/>
            </w:pPr>
            <w:r>
              <w:rPr>
                <w:rFonts w:ascii="Arial" w:cs="Arial" w:eastAsia="Arial" w:hAnsi="Arial"/>
                <w:color w:val="4A4A4A"/>
                <w:sz w:val="17"/>
                <w:szCs w:val="17"/>
              </w:rPr>
              <w:t xml:space="preserve">•  Single-source: adhesives + sealants + tapes + cleaners from one Iowa manufacturer</w:t>
            </w:r>
          </w:p>
          <w:p>
            <w:pPr>
              <w:spacing w:after="0" w:before="80"/>
            </w:pPr>
          </w:p>
        </w:tc>
        <w:tc>
          <w:tcPr>
            <w:tcW w:type="dxa" w:w="5500"/>
            <w:tcBorders>
              <w:top w:val="none" w:color="FFFFFF" w:sz="0"/>
              <w:left w:val="single" w:color="D9DCE1" w:sz="3"/>
              <w:bottom w:val="none" w:color="FFFFFF" w:sz="0"/>
              <w:right w:val="none" w:color="FFFFFF" w:sz="0"/>
            </w:tcBorders>
            <w:shd w:fill="FFF5F5" w:val="clear"/>
            <w:tcMar>
              <w:top w:type="dxa" w:w="0"/>
              <w:left w:type="dxa" w:w="100"/>
              <w:bottom w:type="dxa" w:w="0"/>
              <w:right w:type="dxa" w:w="0"/>
            </w:tcMar>
          </w:tcPr>
          <w:p>
            <w:pPr>
              <w:spacing w:after="50" w:before="80"/>
            </w:pPr>
            <w:r>
              <w:rPr>
                <w:rFonts w:ascii="Arial" w:cs="Arial" w:eastAsia="Arial" w:hAnsi="Arial"/>
                <w:b/>
                <w:bCs/>
                <w:color w:val="7B1010"/>
                <w:sz w:val="20"/>
                <w:szCs w:val="20"/>
              </w:rPr>
              <w:t xml:space="preserve">Where Competitor is Difficult to Displace</w:t>
            </w:r>
          </w:p>
          <w:p>
            <w:pPr>
              <w:spacing w:after="26" w:before="0"/>
              <w:ind w:left="360" w:hanging="200"/>
            </w:pPr>
            <w:r>
              <w:rPr>
                <w:rFonts w:ascii="Arial" w:cs="Arial" w:eastAsia="Arial" w:hAnsi="Arial"/>
                <w:color w:val="4A4A4A"/>
                <w:sz w:val="17"/>
                <w:szCs w:val="17"/>
              </w:rPr>
              <w:t xml:space="preserve">•  Loctite brand recognition is the strongest structural adhesive brand in the US</w:t>
            </w:r>
          </w:p>
          <w:p>
            <w:pPr>
              <w:spacing w:after="26" w:before="0"/>
              <w:ind w:left="360" w:hanging="200"/>
            </w:pPr>
            <w:r>
              <w:rPr>
                <w:rFonts w:ascii="Arial" w:cs="Arial" w:eastAsia="Arial" w:hAnsi="Arial"/>
                <w:color w:val="4A4A4A"/>
                <w:sz w:val="17"/>
                <w:szCs w:val="17"/>
              </w:rPr>
              <w:t xml:space="preserve">•  H8000 SpeedBonder is written into structural adhesive specs by name across industries</w:t>
            </w:r>
          </w:p>
          <w:p>
            <w:pPr>
              <w:spacing w:after="26" w:before="0"/>
              <w:ind w:left="360" w:hanging="200"/>
            </w:pPr>
            <w:r>
              <w:rPr>
                <w:rFonts w:ascii="Arial" w:cs="Arial" w:eastAsia="Arial" w:hAnsi="Arial"/>
                <w:color w:val="4A4A4A"/>
                <w:sz w:val="17"/>
                <w:szCs w:val="17"/>
              </w:rPr>
              <w:t xml:space="preserve">•  Teroson transportation sealant line has deep automotive OEM penetration</w:t>
            </w:r>
          </w:p>
          <w:p>
            <w:pPr>
              <w:spacing w:after="26" w:before="0"/>
              <w:ind w:left="360" w:hanging="200"/>
            </w:pPr>
            <w:r>
              <w:rPr>
                <w:rFonts w:ascii="Arial" w:cs="Arial" w:eastAsia="Arial" w:hAnsi="Arial"/>
                <w:color w:val="4A4A4A"/>
                <w:sz w:val="17"/>
                <w:szCs w:val="17"/>
              </w:rPr>
              <w:t xml:space="preserve">•  Distribution at Fastenal, Grainger, MSC — available everywhere</w:t>
            </w:r>
          </w:p>
          <w:p>
            <w:pPr>
              <w:spacing w:after="26" w:before="0"/>
              <w:ind w:left="360" w:hanging="200"/>
            </w:pPr>
            <w:r>
              <w:rPr>
                <w:rFonts w:ascii="Arial" w:cs="Arial" w:eastAsia="Arial" w:hAnsi="Arial"/>
                <w:color w:val="4A4A4A"/>
                <w:sz w:val="17"/>
                <w:szCs w:val="17"/>
              </w:rPr>
              <w:t xml:space="preserve">•  Threadlockers, anaerobic sealants, light-cure — categories Forza does not play in</w:t>
            </w:r>
          </w:p>
          <w:p>
            <w:pPr>
              <w:spacing w:after="26" w:before="0"/>
              <w:ind w:left="360" w:hanging="200"/>
            </w:pPr>
            <w:r>
              <w:rPr>
                <w:rFonts w:ascii="Arial" w:cs="Arial" w:eastAsia="Arial" w:hAnsi="Arial"/>
                <w:color w:val="4A4A4A"/>
                <w:sz w:val="17"/>
                <w:szCs w:val="17"/>
              </w:rPr>
              <w:t xml:space="preserve">•  50,000+ adhesive employees globally — deep technical resource base</w:t>
            </w:r>
          </w:p>
          <w:p>
            <w:pPr>
              <w:spacing w:after="0" w:before="80"/>
            </w:pPr>
          </w:p>
        </w:tc>
      </w:tr>
    </w:tbl>
    <w:p>
      <w:pPr>
        <w:spacing w:after="0" w:before="100"/>
      </w:pPr>
    </w:p>
    <w:p>
      <w:pPr>
        <w:pBdr>
          <w:bottom w:val="single" w:color="F16A26" w:sz="8" w:space="2"/>
        </w:pBdr>
        <w:spacing w:after="80" w:before="220"/>
      </w:pPr>
      <w:r>
        <w:rPr>
          <w:rFonts w:ascii="Arial" w:cs="Arial" w:eastAsia="Arial" w:hAnsi="Arial"/>
          <w:b/>
          <w:bCs/>
          <w:color w:val="1B3A5C"/>
          <w:sz w:val="26"/>
          <w:szCs w:val="26"/>
        </w:rPr>
        <w:t xml:space="preserve">4  STRATEGIC ASSESSMENT</w:t>
      </w:r>
    </w:p>
    <w:p>
      <w:pPr>
        <w:spacing w:after="0" w:before="60"/>
      </w:pPr>
    </w:p>
    <w:p>
      <w:pPr>
        <w:spacing w:after="50" w:before="140"/>
      </w:pPr>
      <w:r>
        <w:rPr>
          <w:rFonts w:ascii="Arial" w:cs="Arial" w:eastAsia="Arial" w:hAnsi="Arial"/>
          <w:b/>
          <w:bCs/>
          <w:color w:val="2E75B6"/>
          <w:sz w:val="20"/>
          <w:szCs w:val="20"/>
        </w:rPr>
        <w:t xml:space="preserve">Threat Level: HIGH — Brand Specification, Not Chemistry Superiority</w:t>
      </w:r>
    </w:p>
    <w:p>
      <w:pPr>
        <w:spacing w:after="50" w:before="0"/>
      </w:pPr>
      <w:r>
        <w:rPr>
          <w:rFonts w:ascii="Arial" w:cs="Arial" w:eastAsia="Arial" w:hAnsi="Arial"/>
          <w:color w:val="4A4A4A"/>
          <w:sz w:val="18"/>
          <w:szCs w:val="18"/>
        </w:rPr>
        <w:t xml:space="preserve">Henkel/Loctite is the most respected adhesive brand in the structural adhesive and transportation sealant categories. Their advantage is not chemistry — it is specification inertia. Loctite H8000 and Teroson MS 930 are written into drawings and approval sheets by name. Most engineers and procurement teams have never been asked to evaluate an alternative.</w:t>
      </w:r>
    </w:p>
    <w:p>
      <w:pPr>
        <w:spacing w:after="0" w:before="40"/>
      </w:pPr>
    </w:p>
    <w:p>
      <w:pPr>
        <w:spacing w:after="50" w:before="0"/>
      </w:pPr>
      <w:r>
        <w:rPr>
          <w:rFonts w:ascii="Arial" w:cs="Arial" w:eastAsia="Arial" w:hAnsi="Arial"/>
          <w:color w:val="4A4A4A"/>
          <w:sz w:val="18"/>
          <w:szCs w:val="18"/>
        </w:rPr>
        <w:t xml:space="preserve">The Iowa family manufacturer frame is Forza’s most powerful asset against Henkel. This is not a small company vs. big company pitch — it is a direct manufacturer vs. German conglomerate pitch. Forza has won business from Loctite accounts. That proof point, delivered with confidence, is the most credible thing a Forza rep can say in a Loctite-held account.</w:t>
      </w:r>
    </w:p>
    <w:p>
      <w:pPr>
        <w:spacing w:after="0" w:before="4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10"/>
        <w:gridCol w:w="10690"/>
      </w:tblGrid>
      <w:tr>
        <w:tc>
          <w:tcPr>
            <w:tcW w:type="dxa" w:w="110"/>
            <w:tcBorders>
              <w:top w:val="none" w:color="FFFFFF" w:sz="0"/>
              <w:left w:val="thick" w:color="F16A26" w:sz="16"/>
              <w:bottom w:val="none" w:color="FFFFFF" w:sz="0"/>
              <w:right w:val="none" w:color="FFFFFF" w:sz="0"/>
            </w:tcBorders>
            <w:shd w:fill="F2F4F7" w:val="clear"/>
          </w:tcPr>
          <w:p/>
        </w:tc>
        <w:tc>
          <w:tcPr>
            <w:tcW w:type="dxa" w:w="10690"/>
            <w:tcBorders>
              <w:top w:val="none" w:color="FFFFFF" w:sz="0"/>
              <w:left w:val="none" w:color="FFFFFF" w:sz="0"/>
              <w:bottom w:val="none" w:color="FFFFFF" w:sz="0"/>
              <w:right w:val="none" w:color="FFFFFF" w:sz="0"/>
            </w:tcBorders>
            <w:shd w:fill="F2F4F7" w:val="clear"/>
            <w:tcMar>
              <w:top w:type="dxa" w:w="100"/>
              <w:left w:type="dxa" w:w="200"/>
              <w:bottom w:type="dxa" w:w="100"/>
              <w:right w:type="dxa" w:w="160"/>
            </w:tcMar>
          </w:tcPr>
          <w:p>
            <w:r>
              <w:rPr>
                <w:rFonts w:ascii="Arial" w:cs="Arial" w:eastAsia="Arial" w:hAnsi="Arial"/>
                <w:b/>
                <w:bCs/>
                <w:color w:val="1B3A5C"/>
                <w:sz w:val="18"/>
                <w:szCs w:val="18"/>
              </w:rPr>
              <w:t xml:space="preserve">BOTTOM LINE: Loctite is the strongest brand Forza competes against in structural adhesives. Teroson is the strongest in transportation sealants. The frame is Iowa vs. Germany, chemist vs. distributor, direct relationship vs. corporate chain. Forza has won on this frame. Use it.</w:t>
            </w:r>
          </w:p>
        </w:tc>
      </w:tr>
    </w:tbl>
    <w:p>
      <w:pPr>
        <w:spacing w:after="0" w:before="80"/>
      </w:pPr>
    </w:p>
    <w:p>
      <w:pPr>
        <w:pBdr>
          <w:top w:val="single" w:color="D9DCE1" w:sz="4" w:space="4"/>
        </w:pBdr>
        <w:spacing w:before="60"/>
        <w:jc w:val="center"/>
      </w:pPr>
      <w:r>
        <w:rPr>
          <w:rFonts w:ascii="Arial" w:cs="Arial" w:eastAsia="Arial" w:hAnsi="Arial"/>
          <w:i/>
          <w:iCs/>
          <w:color w:val="4A4A4A"/>
          <w:sz w:val="14"/>
          <w:szCs w:val="14"/>
        </w:rPr>
        <w:t xml:space="preserve">CONFIDENTIAL — Forza internal use only | July 2026 | See also: Henkel Battle Card v1, Henkel Forza SKU Crosswalk</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2026-07-27T16:05:37.434Z</dcterms:created>
  <dcterms:modified xsi:type="dcterms:W3CDTF">2026-07-27T16:05:37.434Z</dcterms:modified>
</cp:coreProperties>
</file>

<file path=docProps/custom.xml><?xml version="1.0" encoding="utf-8"?>
<Properties xmlns="http://schemas.openxmlformats.org/officeDocument/2006/custom-properties" xmlns:vt="http://schemas.openxmlformats.org/officeDocument/2006/docPropsVTypes"/>
</file>