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IPG (Intertape)</w:t>
      </w:r>
      <w:r>
        <w:rPr>
          <w:rFonts w:ascii="Calibri" w:cs="Calibri" w:eastAsia="Calibri" w:hAnsi="Calibri"/>
          <w:b/>
          <w:bCs/>
          <w:color w:val="B06010"/>
          <w:sz w:val="18"/>
          <w:szCs w:val="18"/>
        </w:rPr>
        <w:t xml:space="preserve">   [MODERATE THREAT]</w:t>
      </w:r>
    </w:p>
    <w:p>
      <w:pPr>
        <w:spacing w:after="40"/>
      </w:pPr>
      <w:r>
        <w:rPr>
          <w:rFonts w:ascii="Calibri" w:cs="Calibri" w:eastAsia="Calibri" w:hAnsi="Calibri"/>
          <w:i/>
          <w:iCs/>
          <w:color w:val="666666"/>
          <w:sz w:val="20"/>
          <w:szCs w:val="20"/>
        </w:rPr>
        <w:t xml:space="preserve">IPG / Intertape / Cantech / DEWALT Tape / Anchor / American Tape</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Sarasota, FL / Montreal, QC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~$1.5B (2022, private since 2022 — Clearlake Capital)</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IPG is one of the largest tape manufacturers in North America — pressure-sensitive, water-activated, duct, filament, HVAC, double-coated, and specialty tapes across industrial, construction, and packaging markets. They are a tape-first company with no adhesive or sealant. Forza competes directly in the industrial, transportation, and construction tape categories with a direct manufacturer advantage and the ability to bundle tape with adhesive and sealant on one account.</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Industrial Distributor</w:t>
      </w:r>
    </w:p>
    <w:p>
      <w:pPr>
        <w:spacing w:after="80"/>
        <w:ind w:left="240"/>
      </w:pPr>
      <w:r>
        <w:rPr>
          <w:rFonts w:ascii="Calibri" w:cs="Calibri" w:eastAsia="Calibri" w:hAnsi="Calibri"/>
          <w:i/>
          <w:iCs/>
          <w:color w:val="333333"/>
          <w:sz w:val="19"/>
          <w:szCs w:val="19"/>
        </w:rPr>
        <w:t xml:space="preserve">IPG carries every tape category but nothing outside tape. Forza covers the same tape verticals — industrial, transportation, construction — plus adhesive and sealant on the same PO. One account, more shelf, better margin.</w:t>
      </w:r>
    </w:p>
    <w:p>
      <w:pPr>
        <w:spacing w:after="40" w:before="120"/>
      </w:pPr>
      <w:r>
        <w:rPr>
          <w:rFonts w:ascii="Calibri" w:cs="Calibri" w:eastAsia="Calibri" w:hAnsi="Calibri"/>
          <w:b/>
          <w:bCs/>
          <w:color w:val="1B3764"/>
          <w:sz w:val="19"/>
          <w:szCs w:val="19"/>
        </w:rPr>
        <w:t xml:space="preserve">To the Transportation OEM</w:t>
      </w:r>
    </w:p>
    <w:p>
      <w:pPr>
        <w:spacing w:after="80"/>
        <w:ind w:left="240"/>
      </w:pPr>
      <w:r>
        <w:rPr>
          <w:rFonts w:ascii="Calibri" w:cs="Calibri" w:eastAsia="Calibri" w:hAnsi="Calibri"/>
          <w:i/>
          <w:iCs/>
          <w:color w:val="333333"/>
          <w:sz w:val="19"/>
          <w:szCs w:val="19"/>
        </w:rPr>
        <w:t xml:space="preserve">IPG's automotive and transportation tapes are solid. Forza T-series covers the same acrylic foam, double-coated, and specialty tape applications at direct pricing with the added benefit of a sealant and adhesive for the same assembly.</w:t>
      </w:r>
    </w:p>
    <w:p>
      <w:pPr>
        <w:spacing w:after="40" w:before="120"/>
      </w:pPr>
      <w:r>
        <w:rPr>
          <w:rFonts w:ascii="Calibri" w:cs="Calibri" w:eastAsia="Calibri" w:hAnsi="Calibri"/>
          <w:b/>
          <w:bCs/>
          <w:color w:val="1B3764"/>
          <w:sz w:val="19"/>
          <w:szCs w:val="19"/>
        </w:rPr>
        <w:t xml:space="preserve">To the Construction Contractor</w:t>
      </w:r>
    </w:p>
    <w:p>
      <w:pPr>
        <w:spacing w:after="80"/>
        <w:ind w:left="240"/>
      </w:pPr>
      <w:r>
        <w:rPr>
          <w:rFonts w:ascii="Calibri" w:cs="Calibri" w:eastAsia="Calibri" w:hAnsi="Calibri"/>
          <w:i/>
          <w:iCs/>
          <w:color w:val="333333"/>
          <w:sz w:val="19"/>
          <w:szCs w:val="19"/>
        </w:rPr>
        <w:t xml:space="preserve">IPG has HVAC, flashing, and construction tape. Forza RC and CC series cover the same construction tape applications as part of a complete sealant and adhesive system from one direct manufacturer.</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IPG was taken private in 2022 by Clearlake Capital in a $2.6 billion leveraged buyout. Private equity ownership typically means cost discipline, margin optimization, and potential distribution changes. That is a disruption window for distributors who are currently relying on IPG as a primary tape supplier.</w:t>
      </w:r>
    </w:p>
    <w:p>
      <w:pPr>
        <w:pBdr>
          <w:left w:val="single" w:color="E0E4EA" w:sz="6"/>
        </w:pBdr>
        <w:spacing w:after="100"/>
        <w:ind w:left="240"/>
      </w:pPr>
      <w:r>
        <w:rPr>
          <w:rFonts w:ascii="Calibri" w:cs="Calibri" w:eastAsia="Calibri" w:hAnsi="Calibri"/>
          <w:color w:val="333333"/>
          <w:sz w:val="19"/>
          <w:szCs w:val="19"/>
        </w:rPr>
        <w:t xml:space="preserve">•  IPG makes tapes — only tapes. No adhesive, no sealant, no cleaner. Forza covers tape plus the full bonding and sealing system. An IPG account is a single-category relationship; a Forza account is a system relationship.</w:t>
      </w:r>
    </w:p>
    <w:p>
      <w:pPr>
        <w:pBdr>
          <w:left w:val="single" w:color="E0E4EA" w:sz="6"/>
        </w:pBdr>
        <w:spacing w:after="100"/>
        <w:ind w:left="240"/>
      </w:pPr>
      <w:r>
        <w:rPr>
          <w:rFonts w:ascii="Calibri" w:cs="Calibri" w:eastAsia="Calibri" w:hAnsi="Calibri"/>
          <w:color w:val="333333"/>
          <w:sz w:val="19"/>
          <w:szCs w:val="19"/>
        </w:rPr>
        <w:t xml:space="preserve">•  IPG is a packaging-first company that also makes industrial and specialty tapes. Their primary revenue is carton sealing, stretch film, and packaging. The industrial and construction tape portfolio is secondary to their packaging business — which means the tape your contractor is buying may not be IPG's first priority.</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Private Equity Ownership</w:t>
      </w:r>
    </w:p>
    <w:p>
      <w:pPr>
        <w:spacing w:after="80"/>
        <w:ind w:left="240"/>
      </w:pPr>
      <w:r>
        <w:rPr>
          <w:rFonts w:ascii="Calibri" w:cs="Calibri" w:eastAsia="Calibri" w:hAnsi="Calibri"/>
          <w:color w:val="333333"/>
          <w:sz w:val="19"/>
          <w:szCs w:val="19"/>
        </w:rPr>
        <w:t xml:space="preserve">Plant this: IPG was taken private by Clearlake Capital in a $2.6B leveraged buyout in 2022. Private equity typically optimizes for margin and exit, which can mean price increases, SKU rationalization, or distribution changes. Ask: Has IPG changed pricing or terms since the Clearlake acquisition?</w:t>
      </w:r>
    </w:p>
    <w:p>
      <w:pPr>
        <w:spacing w:after="40" w:before="120"/>
      </w:pPr>
      <w:r>
        <w:rPr>
          <w:rFonts w:ascii="Calibri" w:cs="Calibri" w:eastAsia="Calibri" w:hAnsi="Calibri"/>
          <w:b/>
          <w:bCs/>
          <w:color w:val="C0390D"/>
          <w:sz w:val="19"/>
          <w:szCs w:val="19"/>
        </w:rPr>
        <w:t xml:space="preserve">Tape Only</w:t>
      </w:r>
    </w:p>
    <w:p>
      <w:pPr>
        <w:spacing w:after="80"/>
        <w:ind w:left="240"/>
      </w:pPr>
      <w:r>
        <w:rPr>
          <w:rFonts w:ascii="Calibri" w:cs="Calibri" w:eastAsia="Calibri" w:hAnsi="Calibri"/>
          <w:color w:val="333333"/>
          <w:sz w:val="19"/>
          <w:szCs w:val="19"/>
        </w:rPr>
        <w:t xml:space="preserve">Plant this: IPG makes tapes only. For the same job that needs tape plus adhesive or sealant, you are managing two supplier accounts. Ask: What is the cost of managing two purchase orders, two delivery schedules, and two vendor relationships for one job?</w:t>
      </w:r>
    </w:p>
    <w:p>
      <w:pPr>
        <w:spacing w:after="40" w:before="120"/>
      </w:pPr>
      <w:r>
        <w:rPr>
          <w:rFonts w:ascii="Calibri" w:cs="Calibri" w:eastAsia="Calibri" w:hAnsi="Calibri"/>
          <w:b/>
          <w:bCs/>
          <w:color w:val="C0390D"/>
          <w:sz w:val="19"/>
          <w:szCs w:val="19"/>
        </w:rPr>
        <w:t xml:space="preserve">Packaging First</w:t>
      </w:r>
    </w:p>
    <w:p>
      <w:pPr>
        <w:spacing w:after="80"/>
        <w:ind w:left="240"/>
      </w:pPr>
      <w:r>
        <w:rPr>
          <w:rFonts w:ascii="Calibri" w:cs="Calibri" w:eastAsia="Calibri" w:hAnsi="Calibri"/>
          <w:color w:val="333333"/>
          <w:sz w:val="19"/>
          <w:szCs w:val="19"/>
        </w:rPr>
        <w:t xml:space="preserve">Plant this: IPG's largest business is packaging tape and stretch film for e-commerce and distribution. The industrial and specialty tape lines are a secondary priority. Ask: When IPG has a supply issue, which customer segment gets priority — the packaging customer or the industrial tape customer?</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“IPG has every tape we need”</w:t>
      </w:r>
    </w:p>
    <w:p>
      <w:pPr>
        <w:spacing w:after="80"/>
        <w:ind w:left="240"/>
      </w:pPr>
      <w:r>
        <w:rPr>
          <w:rFonts w:ascii="Calibri" w:cs="Calibri" w:eastAsia="Calibri" w:hAnsi="Calibri"/>
          <w:color w:val="333333"/>
          <w:sz w:val="19"/>
          <w:szCs w:val="19"/>
        </w:rPr>
        <w:t xml:space="preserve">Forza covers industrial, transportation, and construction tapes in the same categories. The difference is: Forza also supplies the adhesive and sealant for the same job on one PO, and Forza is a direct manufacturer with no PE ownership overhead.</w:t>
      </w:r>
    </w:p>
    <w:p>
      <w:pPr>
        <w:spacing w:after="40" w:before="120"/>
      </w:pPr>
      <w:r>
        <w:rPr>
          <w:rFonts w:ascii="Calibri" w:cs="Calibri" w:eastAsia="Calibri" w:hAnsi="Calibri"/>
          <w:b/>
          <w:bCs/>
          <w:color w:val="1B3764"/>
          <w:sz w:val="19"/>
          <w:szCs w:val="19"/>
        </w:rPr>
        <w:t xml:space="preserve">“IPG pricing is competitive”</w:t>
      </w:r>
    </w:p>
    <w:p>
      <w:pPr>
        <w:spacing w:after="80"/>
        <w:ind w:left="240"/>
      </w:pPr>
      <w:r>
        <w:rPr>
          <w:rFonts w:ascii="Calibri" w:cs="Calibri" w:eastAsia="Calibri" w:hAnsi="Calibri"/>
          <w:color w:val="333333"/>
          <w:sz w:val="19"/>
          <w:szCs w:val="19"/>
        </w:rPr>
        <w:t xml:space="preserve">IPG pricing reflects a $2.6B leveraged buyout. Clearlake Capital needs a return on that investment. Forza is direct manufacturer with no PE layer. Compare net landed cost on the specific tape grades you are buying.</w:t>
      </w:r>
    </w:p>
    <w:p>
      <w:pPr>
        <w:spacing w:after="40" w:before="120"/>
      </w:pPr>
      <w:r>
        <w:rPr>
          <w:rFonts w:ascii="Calibri" w:cs="Calibri" w:eastAsia="Calibri" w:hAnsi="Calibri"/>
          <w:b/>
          <w:bCs/>
          <w:color w:val="1B3764"/>
          <w:sz w:val="19"/>
          <w:szCs w:val="19"/>
        </w:rPr>
        <w:t xml:space="preserve">“We use DEWALT tape from IPG”</w:t>
      </w:r>
    </w:p>
    <w:p>
      <w:pPr>
        <w:spacing w:after="80"/>
        <w:ind w:left="240"/>
      </w:pPr>
      <w:r>
        <w:rPr>
          <w:rFonts w:ascii="Calibri" w:cs="Calibri" w:eastAsia="Calibri" w:hAnsi="Calibri"/>
          <w:color w:val="333333"/>
          <w:sz w:val="19"/>
          <w:szCs w:val="19"/>
        </w:rPr>
        <w:t xml:space="preserve">DEWALT tape is an IPG-licensed brand — the DEWALT name on the tape is a license agreement, not a DEWALT product. The same tape chemistry is available from Forza at direct pricing.</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IPG Double-Coated Foam Tape</w:t>
            </w:r>
          </w:p>
        </w:tc>
        <w:tc>
          <w:tcPr>
            <w:tcW w:type="dxa" w:w="3760"/>
            <w:shd w:fill="F5F7FB" w:val="clear"/>
          </w:tcPr>
          <w:p>
            <w:r>
              <w:rPr>
                <w:rFonts w:ascii="Calibri" w:cs="Calibri" w:eastAsia="Calibri" w:hAnsi="Calibri"/>
                <w:color w:val="444444"/>
                <w:sz w:val="18"/>
                <w:szCs w:val="18"/>
              </w:rPr>
              <w:t xml:space="preserve">Double-coated foam mounting/bonding tape</w:t>
            </w:r>
          </w:p>
        </w:tc>
        <w:tc>
          <w:tcPr>
            <w:tcW w:type="dxa" w:w="2400"/>
            <w:shd w:fill="F5F7FB" w:val="clear"/>
          </w:tcPr>
          <w:p>
            <w:r>
              <w:rPr>
                <w:rFonts w:ascii="Calibri" w:cs="Calibri" w:eastAsia="Calibri" w:hAnsi="Calibri"/>
                <w:b/>
                <w:bCs/>
                <w:color w:val="F16022"/>
                <w:sz w:val="18"/>
                <w:szCs w:val="18"/>
              </w:rPr>
              <w:t xml:space="preserve">T215</w:t>
            </w:r>
          </w:p>
        </w:tc>
      </w:tr>
      <w:tr>
        <w:tc>
          <w:tcPr>
            <w:tcW w:type="dxa" w:w="3200"/>
            <w:shd w:fill="FFFFFF" w:val="clear"/>
          </w:tcPr>
          <w:p>
            <w:r>
              <w:rPr>
                <w:rFonts w:ascii="Calibri" w:cs="Calibri" w:eastAsia="Calibri" w:hAnsi="Calibri"/>
                <w:b/>
                <w:bCs/>
                <w:color w:val="1B3764"/>
                <w:sz w:val="18"/>
                <w:szCs w:val="18"/>
              </w:rPr>
              <w:t xml:space="preserve">IPG Double-Coated Acrylic Film Tape</w:t>
            </w:r>
          </w:p>
        </w:tc>
        <w:tc>
          <w:tcPr>
            <w:tcW w:type="dxa" w:w="3760"/>
            <w:shd w:fill="FFFFFF" w:val="clear"/>
          </w:tcPr>
          <w:p>
            <w:r>
              <w:rPr>
                <w:rFonts w:ascii="Calibri" w:cs="Calibri" w:eastAsia="Calibri" w:hAnsi="Calibri"/>
                <w:color w:val="444444"/>
                <w:sz w:val="18"/>
                <w:szCs w:val="18"/>
              </w:rPr>
              <w:t xml:space="preserve">Acrylic film double-coated general bonding</w:t>
            </w:r>
          </w:p>
        </w:tc>
        <w:tc>
          <w:tcPr>
            <w:tcW w:type="dxa" w:w="2400"/>
            <w:shd w:fill="FFFFFF" w:val="clear"/>
          </w:tcPr>
          <w:p>
            <w:r>
              <w:rPr>
                <w:rFonts w:ascii="Calibri" w:cs="Calibri" w:eastAsia="Calibri" w:hAnsi="Calibri"/>
                <w:b/>
                <w:bCs/>
                <w:color w:val="F16022"/>
                <w:sz w:val="18"/>
                <w:szCs w:val="18"/>
              </w:rPr>
              <w:t xml:space="preserve">T215</w:t>
            </w:r>
          </w:p>
        </w:tc>
      </w:tr>
      <w:tr>
        <w:tc>
          <w:tcPr>
            <w:tcW w:type="dxa" w:w="3200"/>
            <w:shd w:fill="F5F7FB" w:val="clear"/>
          </w:tcPr>
          <w:p>
            <w:r>
              <w:rPr>
                <w:rFonts w:ascii="Calibri" w:cs="Calibri" w:eastAsia="Calibri" w:hAnsi="Calibri"/>
                <w:b/>
                <w:bCs/>
                <w:color w:val="1B3764"/>
                <w:sz w:val="18"/>
                <w:szCs w:val="18"/>
              </w:rPr>
              <w:t xml:space="preserve">IPG Acrylic Foam Tape</w:t>
            </w:r>
          </w:p>
        </w:tc>
        <w:tc>
          <w:tcPr>
            <w:tcW w:type="dxa" w:w="3760"/>
            <w:shd w:fill="F5F7FB" w:val="clear"/>
          </w:tcPr>
          <w:p>
            <w:r>
              <w:rPr>
                <w:rFonts w:ascii="Calibri" w:cs="Calibri" w:eastAsia="Calibri" w:hAnsi="Calibri"/>
                <w:color w:val="444444"/>
                <w:sz w:val="18"/>
                <w:szCs w:val="18"/>
              </w:rPr>
              <w:t xml:space="preserve">Acrylic foam structural attachment</w:t>
            </w:r>
          </w:p>
        </w:tc>
        <w:tc>
          <w:tcPr>
            <w:tcW w:type="dxa" w:w="2400"/>
            <w:shd w:fill="F5F7FB" w:val="clear"/>
          </w:tcPr>
          <w:p>
            <w:r>
              <w:rPr>
                <w:rFonts w:ascii="Calibri" w:cs="Calibri" w:eastAsia="Calibri" w:hAnsi="Calibri"/>
                <w:b/>
                <w:bCs/>
                <w:color w:val="F16022"/>
                <w:sz w:val="18"/>
                <w:szCs w:val="18"/>
              </w:rPr>
              <w:t xml:space="preserve">T220</w:t>
            </w:r>
          </w:p>
        </w:tc>
      </w:tr>
      <w:tr>
        <w:tc>
          <w:tcPr>
            <w:tcW w:type="dxa" w:w="3200"/>
            <w:shd w:fill="FFFFFF" w:val="clear"/>
          </w:tcPr>
          <w:p>
            <w:r>
              <w:rPr>
                <w:rFonts w:ascii="Calibri" w:cs="Calibri" w:eastAsia="Calibri" w:hAnsi="Calibri"/>
                <w:b/>
                <w:bCs/>
                <w:color w:val="1B3764"/>
                <w:sz w:val="18"/>
                <w:szCs w:val="18"/>
              </w:rPr>
              <w:t xml:space="preserve">IPG HVAC Tape / Flashing Tape</w:t>
            </w:r>
          </w:p>
        </w:tc>
        <w:tc>
          <w:tcPr>
            <w:tcW w:type="dxa" w:w="3760"/>
            <w:shd w:fill="FFFFFF" w:val="clear"/>
          </w:tcPr>
          <w:p>
            <w:r>
              <w:rPr>
                <w:rFonts w:ascii="Calibri" w:cs="Calibri" w:eastAsia="Calibri" w:hAnsi="Calibri"/>
                <w:color w:val="444444"/>
                <w:sz w:val="18"/>
                <w:szCs w:val="18"/>
              </w:rPr>
              <w:t xml:space="preserve">HVAC foil and building flashing tape</w:t>
            </w:r>
          </w:p>
        </w:tc>
        <w:tc>
          <w:tcPr>
            <w:tcW w:type="dxa" w:w="2400"/>
            <w:shd w:fill="FFFFFF" w:val="clear"/>
          </w:tcPr>
          <w:p>
            <w:r>
              <w:rPr>
                <w:rFonts w:ascii="Calibri" w:cs="Calibri" w:eastAsia="Calibri" w:hAnsi="Calibri"/>
                <w:b/>
                <w:bCs/>
                <w:color w:val="F16022"/>
                <w:sz w:val="18"/>
                <w:szCs w:val="18"/>
              </w:rPr>
              <w:t xml:space="preserve">T305</w:t>
            </w:r>
          </w:p>
        </w:tc>
      </w:tr>
      <w:tr>
        <w:tc>
          <w:tcPr>
            <w:tcW w:type="dxa" w:w="3200"/>
            <w:shd w:fill="F5F7FB" w:val="clear"/>
          </w:tcPr>
          <w:p>
            <w:r>
              <w:rPr>
                <w:rFonts w:ascii="Calibri" w:cs="Calibri" w:eastAsia="Calibri" w:hAnsi="Calibri"/>
                <w:b/>
                <w:bCs/>
                <w:color w:val="1B3764"/>
                <w:sz w:val="18"/>
                <w:szCs w:val="18"/>
              </w:rPr>
              <w:t xml:space="preserve">IPG Filament/Strapping Tape</w:t>
            </w:r>
          </w:p>
        </w:tc>
        <w:tc>
          <w:tcPr>
            <w:tcW w:type="dxa" w:w="3760"/>
            <w:shd w:fill="F5F7FB" w:val="clear"/>
          </w:tcPr>
          <w:p>
            <w:r>
              <w:rPr>
                <w:rFonts w:ascii="Calibri" w:cs="Calibri" w:eastAsia="Calibri" w:hAnsi="Calibri"/>
                <w:color w:val="444444"/>
                <w:sz w:val="18"/>
                <w:szCs w:val="18"/>
              </w:rPr>
              <w:t xml:space="preserve">Fiberglass filament strapping tape</w:t>
            </w:r>
          </w:p>
        </w:tc>
        <w:tc>
          <w:tcPr>
            <w:tcW w:type="dxa" w:w="2400"/>
            <w:shd w:fill="F5F7FB" w:val="clear"/>
          </w:tcPr>
          <w:p>
            <w:r>
              <w:rPr>
                <w:rFonts w:ascii="Calibri" w:cs="Calibri" w:eastAsia="Calibri" w:hAnsi="Calibri"/>
                <w:b/>
                <w:bCs/>
                <w:color w:val="F16022"/>
                <w:sz w:val="18"/>
                <w:szCs w:val="18"/>
              </w:rPr>
              <w:t xml:space="preserve">T465</w:t>
            </w:r>
          </w:p>
        </w:tc>
      </w:tr>
      <w:tr>
        <w:tc>
          <w:tcPr>
            <w:tcW w:type="dxa" w:w="3200"/>
            <w:shd w:fill="FFFFFF" w:val="clear"/>
          </w:tcPr>
          <w:p>
            <w:r>
              <w:rPr>
                <w:rFonts w:ascii="Calibri" w:cs="Calibri" w:eastAsia="Calibri" w:hAnsi="Calibri"/>
                <w:b/>
                <w:bCs/>
                <w:color w:val="1B3764"/>
                <w:sz w:val="18"/>
                <w:szCs w:val="18"/>
              </w:rPr>
              <w:t xml:space="preserve">IPG Duct Tape</w:t>
            </w:r>
          </w:p>
        </w:tc>
        <w:tc>
          <w:tcPr>
            <w:tcW w:type="dxa" w:w="3760"/>
            <w:shd w:fill="FFFFFF" w:val="clear"/>
          </w:tcPr>
          <w:p>
            <w:r>
              <w:rPr>
                <w:rFonts w:ascii="Calibri" w:cs="Calibri" w:eastAsia="Calibri" w:hAnsi="Calibri"/>
                <w:color w:val="444444"/>
                <w:sz w:val="18"/>
                <w:szCs w:val="18"/>
              </w:rPr>
              <w:t xml:space="preserve">Cloth reinforced duct and utility tape</w:t>
            </w:r>
          </w:p>
        </w:tc>
        <w:tc>
          <w:tcPr>
            <w:tcW w:type="dxa" w:w="2400"/>
            <w:shd w:fill="FFFFFF" w:val="clear"/>
          </w:tcPr>
          <w:p>
            <w:r>
              <w:rPr>
                <w:rFonts w:ascii="Calibri" w:cs="Calibri" w:eastAsia="Calibri" w:hAnsi="Calibri"/>
                <w:b/>
                <w:bCs/>
                <w:color w:val="F16022"/>
                <w:sz w:val="18"/>
                <w:szCs w:val="18"/>
              </w:rPr>
              <w:t xml:space="preserve">T305</w:t>
            </w:r>
          </w:p>
        </w:tc>
      </w:tr>
      <w:tr>
        <w:tc>
          <w:tcPr>
            <w:tcW w:type="dxa" w:w="3200"/>
            <w:shd w:fill="F5F7FB" w:val="clear"/>
          </w:tcPr>
          <w:p>
            <w:r>
              <w:rPr>
                <w:rFonts w:ascii="Calibri" w:cs="Calibri" w:eastAsia="Calibri" w:hAnsi="Calibri"/>
                <w:b/>
                <w:bCs/>
                <w:color w:val="1B3764"/>
                <w:sz w:val="18"/>
                <w:szCs w:val="18"/>
              </w:rPr>
              <w:t xml:space="preserve">IPG High Performance Specialty Tape</w:t>
            </w:r>
          </w:p>
        </w:tc>
        <w:tc>
          <w:tcPr>
            <w:tcW w:type="dxa" w:w="3760"/>
            <w:shd w:fill="F5F7FB" w:val="clear"/>
          </w:tcPr>
          <w:p>
            <w:r>
              <w:rPr>
                <w:rFonts w:ascii="Calibri" w:cs="Calibri" w:eastAsia="Calibri" w:hAnsi="Calibri"/>
                <w:color w:val="444444"/>
                <w:sz w:val="18"/>
                <w:szCs w:val="18"/>
              </w:rPr>
              <w:t xml:space="preserve">Specialty bonding and masking tape</w:t>
            </w:r>
          </w:p>
        </w:tc>
        <w:tc>
          <w:tcPr>
            <w:tcW w:type="dxa" w:w="2400"/>
            <w:shd w:fill="F5F7FB" w:val="clear"/>
          </w:tcPr>
          <w:p>
            <w:r>
              <w:rPr>
                <w:rFonts w:ascii="Calibri" w:cs="Calibri" w:eastAsia="Calibri" w:hAnsi="Calibri"/>
                <w:b/>
                <w:bCs/>
                <w:color w:val="F16022"/>
                <w:sz w:val="18"/>
                <w:szCs w:val="18"/>
              </w:rPr>
              <w:t xml:space="preserve">T532</w:t>
            </w:r>
          </w:p>
        </w:tc>
      </w:tr>
      <w:tr>
        <w:tc>
          <w:tcPr>
            <w:tcW w:type="dxa" w:w="3200"/>
            <w:shd w:fill="FFFFFF" w:val="clear"/>
          </w:tcPr>
          <w:p>
            <w:r>
              <w:rPr>
                <w:rFonts w:ascii="Calibri" w:cs="Calibri" w:eastAsia="Calibri" w:hAnsi="Calibri"/>
                <w:b/>
                <w:bCs/>
                <w:color w:val="1B3764"/>
                <w:sz w:val="18"/>
                <w:szCs w:val="18"/>
              </w:rPr>
              <w:t xml:space="preserve">IPG Double-Coated Tissue Tape</w:t>
            </w:r>
          </w:p>
        </w:tc>
        <w:tc>
          <w:tcPr>
            <w:tcW w:type="dxa" w:w="3760"/>
            <w:shd w:fill="FFFFFF" w:val="clear"/>
          </w:tcPr>
          <w:p>
            <w:r>
              <w:rPr>
                <w:rFonts w:ascii="Calibri" w:cs="Calibri" w:eastAsia="Calibri" w:hAnsi="Calibri"/>
                <w:color w:val="444444"/>
                <w:sz w:val="18"/>
                <w:szCs w:val="18"/>
              </w:rPr>
              <w:t xml:space="preserve">Tissue double-coated light duty bonding</w:t>
            </w:r>
          </w:p>
        </w:tc>
        <w:tc>
          <w:tcPr>
            <w:tcW w:type="dxa" w:w="2400"/>
            <w:shd w:fill="FFFFFF" w:val="clear"/>
          </w:tcPr>
          <w:p>
            <w:r>
              <w:rPr>
                <w:rFonts w:ascii="Calibri" w:cs="Calibri" w:eastAsia="Calibri" w:hAnsi="Calibri"/>
                <w:b/>
                <w:bCs/>
                <w:color w:val="F16022"/>
                <w:sz w:val="18"/>
                <w:szCs w:val="18"/>
              </w:rPr>
              <w:t xml:space="preserve">T205</w:t>
            </w:r>
          </w:p>
        </w:tc>
      </w:tr>
      <w:tr>
        <w:tc>
          <w:tcPr>
            <w:tcW w:type="dxa" w:w="3200"/>
            <w:shd w:fill="F5F7FB" w:val="clear"/>
          </w:tcPr>
          <w:p>
            <w:r>
              <w:rPr>
                <w:rFonts w:ascii="Calibri" w:cs="Calibri" w:eastAsia="Calibri" w:hAnsi="Calibri"/>
                <w:b/>
                <w:bCs/>
                <w:color w:val="1B3764"/>
                <w:sz w:val="18"/>
                <w:szCs w:val="18"/>
              </w:rPr>
              <w:t xml:space="preserve">IPG Glass Cloth Tape</w:t>
            </w:r>
          </w:p>
        </w:tc>
        <w:tc>
          <w:tcPr>
            <w:tcW w:type="dxa" w:w="3760"/>
            <w:shd w:fill="F5F7FB" w:val="clear"/>
          </w:tcPr>
          <w:p>
            <w:r>
              <w:rPr>
                <w:rFonts w:ascii="Calibri" w:cs="Calibri" w:eastAsia="Calibri" w:hAnsi="Calibri"/>
                <w:color w:val="444444"/>
                <w:sz w:val="18"/>
                <w:szCs w:val="18"/>
              </w:rPr>
              <w:t xml:space="preserve">Glass cloth high-temp specialty tape</w:t>
            </w:r>
          </w:p>
        </w:tc>
        <w:tc>
          <w:tcPr>
            <w:tcW w:type="dxa" w:w="2400"/>
            <w:shd w:fill="F5F7FB" w:val="clear"/>
          </w:tcPr>
          <w:p>
            <w:r>
              <w:rPr>
                <w:rFonts w:ascii="Calibri" w:cs="Calibri" w:eastAsia="Calibri" w:hAnsi="Calibri"/>
                <w:b/>
                <w:bCs/>
                <w:color w:val="F16022"/>
                <w:sz w:val="18"/>
                <w:szCs w:val="18"/>
              </w:rPr>
              <w:t xml:space="preserve">T710</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Direct manufacturer pricing vs IPG with PE leverage overhead</w:t>
            </w:r>
          </w:p>
          <w:p>
            <w:pPr>
              <w:spacing w:after="60"/>
            </w:pPr>
            <w:r>
              <w:rPr>
                <w:rFonts w:ascii="Calibri" w:cs="Calibri" w:eastAsia="Calibri" w:hAnsi="Calibri"/>
                <w:color w:val="1A6B35"/>
                <w:sz w:val="18"/>
                <w:szCs w:val="18"/>
              </w:rPr>
              <w:t xml:space="preserve">✓  Forza single-source: tape + adhesive + sealant on one PO</w:t>
            </w:r>
          </w:p>
          <w:p>
            <w:pPr>
              <w:spacing w:after="60"/>
            </w:pPr>
            <w:r>
              <w:rPr>
                <w:rFonts w:ascii="Calibri" w:cs="Calibri" w:eastAsia="Calibri" w:hAnsi="Calibri"/>
                <w:color w:val="1A6B35"/>
                <w:sz w:val="18"/>
                <w:szCs w:val="18"/>
              </w:rPr>
              <w:t xml:space="preserve">✓  No PE ownership risk — stable manufacturer relationship</w:t>
            </w:r>
          </w:p>
          <w:p>
            <w:pPr>
              <w:spacing w:after="60"/>
            </w:pPr>
            <w:r>
              <w:rPr>
                <w:rFonts w:ascii="Calibri" w:cs="Calibri" w:eastAsia="Calibri" w:hAnsi="Calibri"/>
                <w:color w:val="1A6B35"/>
                <w:sz w:val="18"/>
                <w:szCs w:val="18"/>
              </w:rPr>
              <w:t xml:space="preserve">✓  DEWALT brand on IPG tape is a license, not an endorsement</w:t>
            </w:r>
          </w:p>
          <w:p>
            <w:pPr>
              <w:spacing w:after="60"/>
            </w:pPr>
            <w:r>
              <w:rPr>
                <w:rFonts w:ascii="Calibri" w:cs="Calibri" w:eastAsia="Calibri" w:hAnsi="Calibri"/>
                <w:color w:val="1A6B35"/>
                <w:sz w:val="18"/>
                <w:szCs w:val="18"/>
              </w:rPr>
              <w:t xml:space="preserve">✓  Forza tape cross in every vertical IPG competes in</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IPG tape breadth is unmatched — widest SKU range in North America</w:t>
            </w:r>
          </w:p>
          <w:p>
            <w:pPr>
              <w:spacing w:after="60"/>
            </w:pPr>
            <w:r>
              <w:rPr>
                <w:rFonts w:ascii="Calibri" w:cs="Calibri" w:eastAsia="Calibri" w:hAnsi="Calibri"/>
                <w:color w:val="7B1010"/>
                <w:sz w:val="18"/>
                <w:szCs w:val="18"/>
              </w:rPr>
              <w:t xml:space="preserve">✗  Water-activated tape and packaging tape — outside Forza portfolio</w:t>
            </w:r>
          </w:p>
          <w:p>
            <w:pPr>
              <w:spacing w:after="60"/>
            </w:pPr>
            <w:r>
              <w:rPr>
                <w:rFonts w:ascii="Calibri" w:cs="Calibri" w:eastAsia="Calibri" w:hAnsi="Calibri"/>
                <w:color w:val="7B1010"/>
                <w:sz w:val="18"/>
                <w:szCs w:val="18"/>
              </w:rPr>
              <w:t xml:space="preserve">✗  Stretch and shrink film — outside Forza portfolio</w:t>
            </w:r>
          </w:p>
          <w:p>
            <w:pPr>
              <w:spacing w:after="60"/>
            </w:pPr>
            <w:r>
              <w:rPr>
                <w:rFonts w:ascii="Calibri" w:cs="Calibri" w:eastAsia="Calibri" w:hAnsi="Calibri"/>
                <w:color w:val="7B1010"/>
                <w:sz w:val="18"/>
                <w:szCs w:val="18"/>
              </w:rPr>
              <w:t xml:space="preserve">✗  DEWALT licensed brand creates pull-through at retail and pro desk</w:t>
            </w:r>
          </w:p>
          <w:p>
            <w:pPr>
              <w:spacing w:after="60"/>
            </w:pPr>
            <w:r>
              <w:rPr>
                <w:rFonts w:ascii="Calibri" w:cs="Calibri" w:eastAsia="Calibri" w:hAnsi="Calibri"/>
                <w:color w:val="7B1010"/>
                <w:sz w:val="18"/>
                <w:szCs w:val="18"/>
              </w:rPr>
              <w:t xml:space="preserve">✗  Scale manufacturing: 22 North American plants drive cost advantage</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2026-08-23T00:36:38.984Z</dcterms:created>
  <dcterms:modified xsi:type="dcterms:W3CDTF">2026-08-23T00:36:38.984Z</dcterms:modified>
</cp:coreProperties>
</file>

<file path=docProps/custom.xml><?xml version="1.0" encoding="utf-8"?>
<Properties xmlns="http://schemas.openxmlformats.org/officeDocument/2006/custom-properties" xmlns:vt="http://schemas.openxmlformats.org/officeDocument/2006/docPropsVTypes"/>
</file>