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ITW Plexus</w:t>
      </w:r>
      <w:r>
        <w:rPr>
          <w:rFonts w:ascii="Calibri" w:cs="Calibri" w:eastAsia="Calibri" w:hAnsi="Calibri"/>
          <w:b/>
          <w:bCs/>
          <w:color w:val="B06010"/>
          <w:sz w:val="18"/>
          <w:szCs w:val="18"/>
        </w:rPr>
        <w:t xml:space="preserve">   [MODERATE THREAT]</w:t>
      </w:r>
    </w:p>
    <w:p>
      <w:pPr>
        <w:spacing w:after="40"/>
      </w:pPr>
      <w:r>
        <w:rPr>
          <w:rFonts w:ascii="Calibri" w:cs="Calibri" w:eastAsia="Calibri" w:hAnsi="Calibri"/>
          <w:i/>
          <w:iCs/>
          <w:color w:val="666666"/>
          <w:sz w:val="20"/>
          <w:szCs w:val="20"/>
        </w:rPr>
        <w:t xml:space="preserve">Plexus / MA Series / AO Series</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Glenview, IL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ITW $15.9B (2024); Plexus est. &lt;$200M</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Plexus is ITW's 2-part methacrylate structural adhesive line — the gold standard for bonding composites, thermoplastics, and dissimilar materials without surface prep. Their territory is structural bonding in transportation, composites fabrication, and marine. Forza R160 and R221 epoxy systems and IC951 acrylic cover many of the same structural bonding applications at direct manufacturer pricing without the ITW distribution layer.</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Transportation OEM</w:t>
      </w:r>
    </w:p>
    <w:p>
      <w:pPr>
        <w:spacing w:after="80"/>
        <w:ind w:left="240"/>
      </w:pPr>
      <w:r>
        <w:rPr>
          <w:rFonts w:ascii="Calibri" w:cs="Calibri" w:eastAsia="Calibri" w:hAnsi="Calibri"/>
          <w:i/>
          <w:iCs/>
          <w:color w:val="333333"/>
          <w:sz w:val="19"/>
          <w:szCs w:val="19"/>
        </w:rPr>
        <w:t xml:space="preserve">Plexus MA300/MA320 is the standard for bonding composite panels to metal frames. Forza IC951 is a 2-part acrylic structural adhesive covering the same no-prep bonding requirement at direct pricing.</w:t>
      </w:r>
    </w:p>
    <w:p>
      <w:pPr>
        <w:spacing w:after="40" w:before="120"/>
      </w:pPr>
      <w:r>
        <w:rPr>
          <w:rFonts w:ascii="Calibri" w:cs="Calibri" w:eastAsia="Calibri" w:hAnsi="Calibri"/>
          <w:b/>
          <w:bCs/>
          <w:color w:val="1B3764"/>
          <w:sz w:val="19"/>
          <w:szCs w:val="19"/>
        </w:rPr>
        <w:t xml:space="preserve">To the Marine Fabricator</w:t>
      </w:r>
    </w:p>
    <w:p>
      <w:pPr>
        <w:spacing w:after="80"/>
        <w:ind w:left="240"/>
      </w:pPr>
      <w:r>
        <w:rPr>
          <w:rFonts w:ascii="Calibri" w:cs="Calibri" w:eastAsia="Calibri" w:hAnsi="Calibri"/>
          <w:i/>
          <w:iCs/>
          <w:color w:val="333333"/>
          <w:sz w:val="19"/>
          <w:szCs w:val="19"/>
        </w:rPr>
        <w:t xml:space="preserve">Plexus AO420 is strong for composite hull bonding. Forza R160 and the Composites vertical cover structural bonding in fiberglass and carbon fiber applications at direct manufacturer pricing.</w:t>
      </w:r>
    </w:p>
    <w:p>
      <w:pPr>
        <w:spacing w:after="40" w:before="120"/>
      </w:pPr>
      <w:r>
        <w:rPr>
          <w:rFonts w:ascii="Calibri" w:cs="Calibri" w:eastAsia="Calibri" w:hAnsi="Calibri"/>
          <w:b/>
          <w:bCs/>
          <w:color w:val="1B3764"/>
          <w:sz w:val="19"/>
          <w:szCs w:val="19"/>
        </w:rPr>
        <w:t xml:space="preserve">To the Composites Fabricator</w:t>
      </w:r>
    </w:p>
    <w:p>
      <w:pPr>
        <w:spacing w:after="80"/>
        <w:ind w:left="240"/>
      </w:pPr>
      <w:r>
        <w:rPr>
          <w:rFonts w:ascii="Calibri" w:cs="Calibri" w:eastAsia="Calibri" w:hAnsi="Calibri"/>
          <w:i/>
          <w:iCs/>
          <w:color w:val="333333"/>
          <w:sz w:val="19"/>
          <w:szCs w:val="19"/>
        </w:rPr>
        <w:t xml:space="preserve">Plexus is a great product. It is also exclusively a 2-part cartridge system with no spray or canister option. Forza has both 2-part structural and canister spray systems for the composites vertical.</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Plexus is ITW's specialty structural adhesive — a $15.9B industrial conglomerate's niche product line. The Plexus rep also covers welding equipment, food service equipment, and test instruments. Forza is an adhesive, sealant, and tape specialist with nothing else on the truck.</w:t>
      </w:r>
    </w:p>
    <w:p>
      <w:pPr>
        <w:pBdr>
          <w:left w:val="single" w:color="E0E4EA" w:sz="6"/>
        </w:pBdr>
        <w:spacing w:after="100"/>
        <w:ind w:left="240"/>
      </w:pPr>
      <w:r>
        <w:rPr>
          <w:rFonts w:ascii="Calibri" w:cs="Calibri" w:eastAsia="Calibri" w:hAnsi="Calibri"/>
          <w:color w:val="333333"/>
          <w:sz w:val="19"/>
          <w:szCs w:val="19"/>
        </w:rPr>
        <w:t xml:space="preserve">•  Plexus is exclusively a 2-part methacrylate cartridge system. There is no Plexus spray adhesive, no Plexus canister system, no Plexus sealant. Forza covers the full bonding and sealing system in one account.</w:t>
      </w:r>
    </w:p>
    <w:p>
      <w:pPr>
        <w:pBdr>
          <w:left w:val="single" w:color="E0E4EA" w:sz="6"/>
        </w:pBdr>
        <w:spacing w:after="100"/>
        <w:ind w:left="240"/>
      </w:pPr>
      <w:r>
        <w:rPr>
          <w:rFonts w:ascii="Calibri" w:cs="Calibri" w:eastAsia="Calibri" w:hAnsi="Calibri"/>
          <w:color w:val="333333"/>
          <w:sz w:val="19"/>
          <w:szCs w:val="19"/>
        </w:rPr>
        <w:t xml:space="preserve">•  Plexus pricing reflects ITW's distribution model — industrial distribution markup on top of a conglomerate margin structure. Forza is direct manufacturer. The chemistry gap between MA300 and Forza IC951 2-part acrylic is narrower than the price gap.</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Conglomerate Portfolio</w:t>
      </w:r>
    </w:p>
    <w:p>
      <w:pPr>
        <w:spacing w:after="80"/>
        <w:ind w:left="240"/>
      </w:pPr>
      <w:r>
        <w:rPr>
          <w:rFonts w:ascii="Calibri" w:cs="Calibri" w:eastAsia="Calibri" w:hAnsi="Calibri"/>
          <w:color w:val="333333"/>
          <w:sz w:val="19"/>
          <w:szCs w:val="19"/>
        </w:rPr>
        <w:t xml:space="preserve">Plant this: ITW makes welding machines, food equipment, and test instruments. Their Plexus adhesive rep carries a portfolio that spans seven business segments. Ask: When you have a technical adhesive question on a composite bonding application, how specialized is the ITW person who answers?</w:t>
      </w:r>
    </w:p>
    <w:p>
      <w:pPr>
        <w:spacing w:after="40" w:before="120"/>
      </w:pPr>
      <w:r>
        <w:rPr>
          <w:rFonts w:ascii="Calibri" w:cs="Calibri" w:eastAsia="Calibri" w:hAnsi="Calibri"/>
          <w:b/>
          <w:bCs/>
          <w:color w:val="C0390D"/>
          <w:sz w:val="19"/>
          <w:szCs w:val="19"/>
        </w:rPr>
        <w:t xml:space="preserve">No Spray System</w:t>
      </w:r>
    </w:p>
    <w:p>
      <w:pPr>
        <w:spacing w:after="80"/>
        <w:ind w:left="240"/>
      </w:pPr>
      <w:r>
        <w:rPr>
          <w:rFonts w:ascii="Calibri" w:cs="Calibri" w:eastAsia="Calibri" w:hAnsi="Calibri"/>
          <w:color w:val="333333"/>
          <w:sz w:val="19"/>
          <w:szCs w:val="19"/>
        </w:rPr>
        <w:t xml:space="preserve">Plant this: Plexus is cartridge-only. For high-volume composite bonding where spray application would improve throughput, Plexus has no answer. Ask: Have you priced out the labor cost difference between cartridge dispensing and a spray system at your production volume?</w:t>
      </w:r>
    </w:p>
    <w:p>
      <w:pPr>
        <w:spacing w:after="40" w:before="120"/>
      </w:pPr>
      <w:r>
        <w:rPr>
          <w:rFonts w:ascii="Calibri" w:cs="Calibri" w:eastAsia="Calibri" w:hAnsi="Calibri"/>
          <w:b/>
          <w:bCs/>
          <w:color w:val="C0390D"/>
          <w:sz w:val="19"/>
          <w:szCs w:val="19"/>
        </w:rPr>
        <w:t xml:space="preserve">Distribution Pricing</w:t>
      </w:r>
    </w:p>
    <w:p>
      <w:pPr>
        <w:spacing w:after="80"/>
        <w:ind w:left="240"/>
      </w:pPr>
      <w:r>
        <w:rPr>
          <w:rFonts w:ascii="Calibri" w:cs="Calibri" w:eastAsia="Calibri" w:hAnsi="Calibri"/>
          <w:color w:val="333333"/>
          <w:sz w:val="19"/>
          <w:szCs w:val="19"/>
        </w:rPr>
        <w:t xml:space="preserve">Plant this: Plexus moves through industrial distribution. Ask: Are you buying Plexus direct from ITW or through a distributor? If through distribution, what is the markup layer between ITW's manufacturer price and what you are paying?</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“Plexus bonds without surface prep — nothing else does that”</w:t>
      </w:r>
    </w:p>
    <w:p>
      <w:pPr>
        <w:spacing w:after="80"/>
        <w:ind w:left="240"/>
      </w:pPr>
      <w:r>
        <w:rPr>
          <w:rFonts w:ascii="Calibri" w:cs="Calibri" w:eastAsia="Calibri" w:hAnsi="Calibri"/>
          <w:color w:val="333333"/>
          <w:sz w:val="19"/>
          <w:szCs w:val="19"/>
        </w:rPr>
        <w:t xml:space="preserve">Forza IC951 is a 2-part acrylic structural adhesive with primerless adhesion to composites, thermoplastics, and metals. The no-prep claim is not exclusive to Plexus. Compare TDS on adhesion to your specific substrates.</w:t>
      </w:r>
    </w:p>
    <w:p>
      <w:pPr>
        <w:spacing w:after="40" w:before="120"/>
      </w:pPr>
      <w:r>
        <w:rPr>
          <w:rFonts w:ascii="Calibri" w:cs="Calibri" w:eastAsia="Calibri" w:hAnsi="Calibri"/>
          <w:b/>
          <w:bCs/>
          <w:color w:val="1B3764"/>
          <w:sz w:val="19"/>
          <w:szCs w:val="19"/>
        </w:rPr>
        <w:t xml:space="preserve">“We have used Plexus for 10 years on this line”</w:t>
      </w:r>
    </w:p>
    <w:p>
      <w:pPr>
        <w:spacing w:after="80"/>
        <w:ind w:left="240"/>
      </w:pPr>
      <w:r>
        <w:rPr>
          <w:rFonts w:ascii="Calibri" w:cs="Calibri" w:eastAsia="Calibri" w:hAnsi="Calibri"/>
          <w:color w:val="333333"/>
          <w:sz w:val="19"/>
          <w:szCs w:val="19"/>
        </w:rPr>
        <w:t xml:space="preserve">Ten years of reliability is real. So is the pricing. Forza IC951 covers the same structural bonding chemistry. Let us run a side-by-side on your specific substrate and see if the performance matches at direct pricing.</w:t>
      </w:r>
    </w:p>
    <w:p>
      <w:pPr>
        <w:spacing w:after="40" w:before="120"/>
      </w:pPr>
      <w:r>
        <w:rPr>
          <w:rFonts w:ascii="Calibri" w:cs="Calibri" w:eastAsia="Calibri" w:hAnsi="Calibri"/>
          <w:b/>
          <w:bCs/>
          <w:color w:val="1B3764"/>
          <w:sz w:val="19"/>
          <w:szCs w:val="19"/>
        </w:rPr>
        <w:t xml:space="preserve">“Plexus is specced for this application”</w:t>
      </w:r>
    </w:p>
    <w:p>
      <w:pPr>
        <w:spacing w:after="80"/>
        <w:ind w:left="240"/>
      </w:pPr>
      <w:r>
        <w:rPr>
          <w:rFonts w:ascii="Calibri" w:cs="Calibri" w:eastAsia="Calibri" w:hAnsi="Calibri"/>
          <w:color w:val="333333"/>
          <w:sz w:val="19"/>
          <w:szCs w:val="19"/>
        </w:rPr>
        <w:t xml:space="preserve">Is it specced by name or by chemistry class? 2-part methacrylate structural adhesive is a chemistry standard, not a brand lock. Ask whether the spec allows equal chemistry alternatives meeting the same performance standard.</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Plexus MA300</w:t>
            </w:r>
          </w:p>
        </w:tc>
        <w:tc>
          <w:tcPr>
            <w:tcW w:type="dxa" w:w="3760"/>
            <w:shd w:fill="F5F7FB" w:val="clear"/>
          </w:tcPr>
          <w:p>
            <w:r>
              <w:rPr>
                <w:rFonts w:ascii="Calibri" w:cs="Calibri" w:eastAsia="Calibri" w:hAnsi="Calibri"/>
                <w:color w:val="444444"/>
                <w:sz w:val="18"/>
                <w:szCs w:val="18"/>
              </w:rPr>
              <w:t xml:space="preserve">2-part MMA structural adhesive metal/composite/plastic</w:t>
            </w:r>
          </w:p>
        </w:tc>
        <w:tc>
          <w:tcPr>
            <w:tcW w:type="dxa" w:w="2400"/>
            <w:shd w:fill="F5F7FB" w:val="clear"/>
          </w:tcPr>
          <w:p>
            <w:r>
              <w:rPr>
                <w:rFonts w:ascii="Calibri" w:cs="Calibri" w:eastAsia="Calibri" w:hAnsi="Calibri"/>
                <w:b/>
                <w:bCs/>
                <w:color w:val="F16022"/>
                <w:sz w:val="18"/>
                <w:szCs w:val="18"/>
              </w:rPr>
              <w:t xml:space="preserve">IC951</w:t>
            </w:r>
          </w:p>
        </w:tc>
      </w:tr>
      <w:tr>
        <w:tc>
          <w:tcPr>
            <w:tcW w:type="dxa" w:w="3200"/>
            <w:shd w:fill="FFFFFF" w:val="clear"/>
          </w:tcPr>
          <w:p>
            <w:r>
              <w:rPr>
                <w:rFonts w:ascii="Calibri" w:cs="Calibri" w:eastAsia="Calibri" w:hAnsi="Calibri"/>
                <w:b/>
                <w:bCs/>
                <w:color w:val="1B3764"/>
                <w:sz w:val="18"/>
                <w:szCs w:val="18"/>
              </w:rPr>
              <w:t xml:space="preserve">Plexus MA310</w:t>
            </w:r>
          </w:p>
        </w:tc>
        <w:tc>
          <w:tcPr>
            <w:tcW w:type="dxa" w:w="3760"/>
            <w:shd w:fill="FFFFFF" w:val="clear"/>
          </w:tcPr>
          <w:p>
            <w:r>
              <w:rPr>
                <w:rFonts w:ascii="Calibri" w:cs="Calibri" w:eastAsia="Calibri" w:hAnsi="Calibri"/>
                <w:color w:val="444444"/>
                <w:sz w:val="18"/>
                <w:szCs w:val="18"/>
              </w:rPr>
              <w:t xml:space="preserve">2-part MMA medium cure high stiffness structural</w:t>
            </w:r>
          </w:p>
        </w:tc>
        <w:tc>
          <w:tcPr>
            <w:tcW w:type="dxa" w:w="2400"/>
            <w:shd w:fill="FFFFFF" w:val="clear"/>
          </w:tcPr>
          <w:p>
            <w:r>
              <w:rPr>
                <w:rFonts w:ascii="Calibri" w:cs="Calibri" w:eastAsia="Calibri" w:hAnsi="Calibri"/>
                <w:b/>
                <w:bCs/>
                <w:color w:val="F16022"/>
                <w:sz w:val="18"/>
                <w:szCs w:val="18"/>
              </w:rPr>
              <w:t xml:space="preserve">IC951</w:t>
            </w:r>
          </w:p>
        </w:tc>
      </w:tr>
      <w:tr>
        <w:tc>
          <w:tcPr>
            <w:tcW w:type="dxa" w:w="3200"/>
            <w:shd w:fill="F5F7FB" w:val="clear"/>
          </w:tcPr>
          <w:p>
            <w:r>
              <w:rPr>
                <w:rFonts w:ascii="Calibri" w:cs="Calibri" w:eastAsia="Calibri" w:hAnsi="Calibri"/>
                <w:b/>
                <w:bCs/>
                <w:color w:val="1B3764"/>
                <w:sz w:val="18"/>
                <w:szCs w:val="18"/>
              </w:rPr>
              <w:t xml:space="preserve">Plexus MA320</w:t>
            </w:r>
          </w:p>
        </w:tc>
        <w:tc>
          <w:tcPr>
            <w:tcW w:type="dxa" w:w="3760"/>
            <w:shd w:fill="F5F7FB" w:val="clear"/>
          </w:tcPr>
          <w:p>
            <w:r>
              <w:rPr>
                <w:rFonts w:ascii="Calibri" w:cs="Calibri" w:eastAsia="Calibri" w:hAnsi="Calibri"/>
                <w:color w:val="444444"/>
                <w:sz w:val="18"/>
                <w:szCs w:val="18"/>
              </w:rPr>
              <w:t xml:space="preserve">2-part MMA high strength low temp toughness</w:t>
            </w:r>
          </w:p>
        </w:tc>
        <w:tc>
          <w:tcPr>
            <w:tcW w:type="dxa" w:w="2400"/>
            <w:shd w:fill="F5F7FB" w:val="clear"/>
          </w:tcPr>
          <w:p>
            <w:r>
              <w:rPr>
                <w:rFonts w:ascii="Calibri" w:cs="Calibri" w:eastAsia="Calibri" w:hAnsi="Calibri"/>
                <w:b/>
                <w:bCs/>
                <w:color w:val="F16022"/>
                <w:sz w:val="18"/>
                <w:szCs w:val="18"/>
              </w:rPr>
              <w:t xml:space="preserve">IC951</w:t>
            </w:r>
          </w:p>
        </w:tc>
      </w:tr>
      <w:tr>
        <w:tc>
          <w:tcPr>
            <w:tcW w:type="dxa" w:w="3200"/>
            <w:shd w:fill="FFFFFF" w:val="clear"/>
          </w:tcPr>
          <w:p>
            <w:r>
              <w:rPr>
                <w:rFonts w:ascii="Calibri" w:cs="Calibri" w:eastAsia="Calibri" w:hAnsi="Calibri"/>
                <w:b/>
                <w:bCs/>
                <w:color w:val="1B3764"/>
                <w:sz w:val="18"/>
                <w:szCs w:val="18"/>
              </w:rPr>
              <w:t xml:space="preserve">Plexus MA420</w:t>
            </w:r>
          </w:p>
        </w:tc>
        <w:tc>
          <w:tcPr>
            <w:tcW w:type="dxa" w:w="3760"/>
            <w:shd w:fill="FFFFFF" w:val="clear"/>
          </w:tcPr>
          <w:p>
            <w:r>
              <w:rPr>
                <w:rFonts w:ascii="Calibri" w:cs="Calibri" w:eastAsia="Calibri" w:hAnsi="Calibri"/>
                <w:color w:val="444444"/>
                <w:sz w:val="18"/>
                <w:szCs w:val="18"/>
              </w:rPr>
              <w:t xml:space="preserve">2-part MMA fast cure direct-to-metal</w:t>
            </w:r>
          </w:p>
        </w:tc>
        <w:tc>
          <w:tcPr>
            <w:tcW w:type="dxa" w:w="2400"/>
            <w:shd w:fill="FFFFFF" w:val="clear"/>
          </w:tcPr>
          <w:p>
            <w:r>
              <w:rPr>
                <w:rFonts w:ascii="Calibri" w:cs="Calibri" w:eastAsia="Calibri" w:hAnsi="Calibri"/>
                <w:b/>
                <w:bCs/>
                <w:color w:val="F16022"/>
                <w:sz w:val="18"/>
                <w:szCs w:val="18"/>
              </w:rPr>
              <w:t xml:space="preserve">IC951</w:t>
            </w:r>
          </w:p>
        </w:tc>
      </w:tr>
      <w:tr>
        <w:tc>
          <w:tcPr>
            <w:tcW w:type="dxa" w:w="3200"/>
            <w:shd w:fill="F5F7FB" w:val="clear"/>
          </w:tcPr>
          <w:p>
            <w:r>
              <w:rPr>
                <w:rFonts w:ascii="Calibri" w:cs="Calibri" w:eastAsia="Calibri" w:hAnsi="Calibri"/>
                <w:b/>
                <w:bCs/>
                <w:color w:val="1B3764"/>
                <w:sz w:val="18"/>
                <w:szCs w:val="18"/>
              </w:rPr>
              <w:t xml:space="preserve">Plexus MA205HV</w:t>
            </w:r>
          </w:p>
        </w:tc>
        <w:tc>
          <w:tcPr>
            <w:tcW w:type="dxa" w:w="3760"/>
            <w:shd w:fill="F5F7FB" w:val="clear"/>
          </w:tcPr>
          <w:p>
            <w:r>
              <w:rPr>
                <w:rFonts w:ascii="Calibri" w:cs="Calibri" w:eastAsia="Calibri" w:hAnsi="Calibri"/>
                <w:color w:val="444444"/>
                <w:sz w:val="18"/>
                <w:szCs w:val="18"/>
              </w:rPr>
              <w:t xml:space="preserve">2-part MMA rapid cure composites electronics</w:t>
            </w:r>
          </w:p>
        </w:tc>
        <w:tc>
          <w:tcPr>
            <w:tcW w:type="dxa" w:w="2400"/>
            <w:shd w:fill="F5F7FB" w:val="clear"/>
          </w:tcPr>
          <w:p>
            <w:r>
              <w:rPr>
                <w:rFonts w:ascii="Calibri" w:cs="Calibri" w:eastAsia="Calibri" w:hAnsi="Calibri"/>
                <w:b/>
                <w:bCs/>
                <w:color w:val="F16022"/>
                <w:sz w:val="18"/>
                <w:szCs w:val="18"/>
              </w:rPr>
              <w:t xml:space="preserve">IC951</w:t>
            </w:r>
          </w:p>
        </w:tc>
      </w:tr>
      <w:tr>
        <w:tc>
          <w:tcPr>
            <w:tcW w:type="dxa" w:w="3200"/>
            <w:shd w:fill="FFFFFF" w:val="clear"/>
          </w:tcPr>
          <w:p>
            <w:r>
              <w:rPr>
                <w:rFonts w:ascii="Calibri" w:cs="Calibri" w:eastAsia="Calibri" w:hAnsi="Calibri"/>
                <w:b/>
                <w:bCs/>
                <w:color w:val="1B3764"/>
                <w:sz w:val="18"/>
                <w:szCs w:val="18"/>
              </w:rPr>
              <w:t xml:space="preserve">Plexus AO420</w:t>
            </w:r>
          </w:p>
        </w:tc>
        <w:tc>
          <w:tcPr>
            <w:tcW w:type="dxa" w:w="3760"/>
            <w:shd w:fill="FFFFFF" w:val="clear"/>
          </w:tcPr>
          <w:p>
            <w:r>
              <w:rPr>
                <w:rFonts w:ascii="Calibri" w:cs="Calibri" w:eastAsia="Calibri" w:hAnsi="Calibri"/>
                <w:color w:val="444444"/>
                <w:sz w:val="18"/>
                <w:szCs w:val="18"/>
              </w:rPr>
              <w:t xml:space="preserve">2-part MMA composite bonding transportation</w:t>
            </w:r>
          </w:p>
        </w:tc>
        <w:tc>
          <w:tcPr>
            <w:tcW w:type="dxa" w:w="2400"/>
            <w:shd w:fill="FFFFFF" w:val="clear"/>
          </w:tcPr>
          <w:p>
            <w:r>
              <w:rPr>
                <w:rFonts w:ascii="Calibri" w:cs="Calibri" w:eastAsia="Calibri" w:hAnsi="Calibri"/>
                <w:b/>
                <w:bCs/>
                <w:color w:val="F16022"/>
                <w:sz w:val="18"/>
                <w:szCs w:val="18"/>
              </w:rPr>
              <w:t xml:space="preserve">IC951</w:t>
            </w:r>
          </w:p>
        </w:tc>
      </w:tr>
      <w:tr>
        <w:tc>
          <w:tcPr>
            <w:tcW w:type="dxa" w:w="3200"/>
            <w:shd w:fill="F5F7FB" w:val="clear"/>
          </w:tcPr>
          <w:p>
            <w:r>
              <w:rPr>
                <w:rFonts w:ascii="Calibri" w:cs="Calibri" w:eastAsia="Calibri" w:hAnsi="Calibri"/>
                <w:b/>
                <w:bCs/>
                <w:color w:val="1B3764"/>
                <w:sz w:val="18"/>
                <w:szCs w:val="18"/>
              </w:rPr>
              <w:t xml:space="preserve">Plexus AO610</w:t>
            </w:r>
          </w:p>
        </w:tc>
        <w:tc>
          <w:tcPr>
            <w:tcW w:type="dxa" w:w="3760"/>
            <w:shd w:fill="F5F7FB" w:val="clear"/>
          </w:tcPr>
          <w:p>
            <w:r>
              <w:rPr>
                <w:rFonts w:ascii="Calibri" w:cs="Calibri" w:eastAsia="Calibri" w:hAnsi="Calibri"/>
                <w:color w:val="444444"/>
                <w:sz w:val="18"/>
                <w:szCs w:val="18"/>
              </w:rPr>
              <w:t xml:space="preserve">2-part MMA galvanized metal bonding</w:t>
            </w:r>
          </w:p>
        </w:tc>
        <w:tc>
          <w:tcPr>
            <w:tcW w:type="dxa" w:w="2400"/>
            <w:shd w:fill="F5F7FB" w:val="clear"/>
          </w:tcPr>
          <w:p>
            <w:r>
              <w:rPr>
                <w:rFonts w:ascii="Calibri" w:cs="Calibri" w:eastAsia="Calibri" w:hAnsi="Calibri"/>
                <w:b/>
                <w:bCs/>
                <w:color w:val="F16022"/>
                <w:sz w:val="18"/>
                <w:szCs w:val="18"/>
              </w:rPr>
              <w:t xml:space="preserve">IC951</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Direct manufacturer pricing vs ITW distribution layer</w:t>
            </w:r>
          </w:p>
          <w:p>
            <w:pPr>
              <w:spacing w:after="60"/>
            </w:pPr>
            <w:r>
              <w:rPr>
                <w:rFonts w:ascii="Calibri" w:cs="Calibri" w:eastAsia="Calibri" w:hAnsi="Calibri"/>
                <w:color w:val="1A6B35"/>
                <w:sz w:val="18"/>
                <w:szCs w:val="18"/>
              </w:rPr>
              <w:t xml:space="preserve">✓  Forza IC951 covers same 2-part structural acrylic chemistry</w:t>
            </w:r>
          </w:p>
          <w:p>
            <w:pPr>
              <w:spacing w:after="60"/>
            </w:pPr>
            <w:r>
              <w:rPr>
                <w:rFonts w:ascii="Calibri" w:cs="Calibri" w:eastAsia="Calibri" w:hAnsi="Calibri"/>
                <w:color w:val="1A6B35"/>
                <w:sz w:val="18"/>
                <w:szCs w:val="18"/>
              </w:rPr>
              <w:t xml:space="preserve">✓  Forza has canister spray system — Plexus is cartridge only</w:t>
            </w:r>
          </w:p>
          <w:p>
            <w:pPr>
              <w:spacing w:after="60"/>
            </w:pPr>
            <w:r>
              <w:rPr>
                <w:rFonts w:ascii="Calibri" w:cs="Calibri" w:eastAsia="Calibri" w:hAnsi="Calibri"/>
                <w:color w:val="1A6B35"/>
                <w:sz w:val="18"/>
                <w:szCs w:val="18"/>
              </w:rPr>
              <w:t xml:space="preserve">✓  Forza single-source: structural adhesive + sealant + tape</w:t>
            </w:r>
          </w:p>
          <w:p>
            <w:pPr>
              <w:spacing w:after="60"/>
            </w:pPr>
            <w:r>
              <w:rPr>
                <w:rFonts w:ascii="Calibri" w:cs="Calibri" w:eastAsia="Calibri" w:hAnsi="Calibri"/>
                <w:color w:val="1A6B35"/>
                <w:sz w:val="18"/>
                <w:szCs w:val="18"/>
              </w:rPr>
              <w:t xml:space="preserve">✓  Adhesive specialist vs ITW 7-segment conglomerate</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Plexus brand deeply embedded in transportation OEM composite specs</w:t>
            </w:r>
          </w:p>
          <w:p>
            <w:pPr>
              <w:spacing w:after="60"/>
            </w:pPr>
            <w:r>
              <w:rPr>
                <w:rFonts w:ascii="Calibri" w:cs="Calibri" w:eastAsia="Calibri" w:hAnsi="Calibri"/>
                <w:color w:val="7B1010"/>
                <w:sz w:val="18"/>
                <w:szCs w:val="18"/>
              </w:rPr>
              <w:t xml:space="preserve">✗  MA300/MA320 series primerless adhesion to Alodined aluminum — aerospace spec</w:t>
            </w:r>
          </w:p>
          <w:p>
            <w:pPr>
              <w:spacing w:after="60"/>
            </w:pPr>
            <w:r>
              <w:rPr>
                <w:rFonts w:ascii="Calibri" w:cs="Calibri" w:eastAsia="Calibri" w:hAnsi="Calibri"/>
                <w:color w:val="7B1010"/>
                <w:sz w:val="18"/>
                <w:szCs w:val="18"/>
              </w:rPr>
              <w:t xml:space="preserve">✗  No Forza equivalent for ultra-high-performance structural bonding on aerospace substrates</w:t>
            </w:r>
          </w:p>
          <w:p>
            <w:pPr>
              <w:spacing w:after="60"/>
            </w:pPr>
            <w:r>
              <w:rPr>
                <w:rFonts w:ascii="Calibri" w:cs="Calibri" w:eastAsia="Calibri" w:hAnsi="Calibri"/>
                <w:color w:val="7B1010"/>
                <w:sz w:val="18"/>
                <w:szCs w:val="18"/>
              </w:rPr>
              <w:t xml:space="preserve">✗  ITW engineering support and application testing infrastructure</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2026-08-23T00:36:39.003Z</dcterms:created>
  <dcterms:modified xsi:type="dcterms:W3CDTF">2026-08-23T00:36:39.003Z</dcterms:modified>
</cp:coreProperties>
</file>

<file path=docProps/custom.xml><?xml version="1.0" encoding="utf-8"?>
<Properties xmlns="http://schemas.openxmlformats.org/officeDocument/2006/custom-properties" xmlns:vt="http://schemas.openxmlformats.org/officeDocument/2006/docPropsVTypes"/>
</file>