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a community centre welcoming over 550 people per month that has trained more than 5,000 individuals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is a dedicated digital inclusion initiative for children with Down syndrome (trisomy 21) — a concrete demonstration that the organisation's mission extends to every form of exclusion, including disability.</w:t>
        <w:br/>
        <w:br/>
        <w:t>The team carrying this project is deeply locally rooted and technically capable at an international level. Fenitra Ravelomanantsoa, founder of Madagasikara Vaovao, is Head of Cloud Regulatory (Director of Cloud Legal and Regulatory Affairs) at Google in Zurich, where he oversees regulatory compliance for cloud infrastructure at international scale.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welcomes over 550 young people and adults each month through its digital literacy programmes — E-JERY (internet and digital discovery) and HOLI DEV (coding and computational thinking) — both supported by Telma Madagascar. Most significantly, Maison du Numérique runs a dedicated digital inclusion programme for children with Down syndrome (trisomy 21), an initiative led by its volunteer team that demonstrates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github.com/mgvaovao/ml and github.com/mgvaovao/backend_ia,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 monthly users, 5,000 people trained since inauguration, an established partner network (Telma, Sayna, CoderDojo Antananarivo, STEM4Good Madagascar, ANKY),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led by volunteers — documented daily practice that places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digital law specialist and Head of Cloud Regulatory at Google, personally ensures the project's compliance with international data protection standards. This level of legal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Telma Madagascar, Sayna, CoderDojo Antananarivo, STEM4Good Madagascar, and ANKY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Telma Madagascar for the E-JERY and HOLI DEV programmes, Sayna, CoderDojo Antananarivo, STEM4Good Madagascar, and ANKY. These partnerships are active and documented since the inauguration of Maison du Numérique in February 2024.</w:t>
        <w:br/>
        <w:br/>
        <w:t>Supplementary documentation is directly accessible in the public GitHub repositories. The repository github.com/mgvaovao/ml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A legal professional specialising in digital law and Head of Cloud Regulatory (Director of Cloud Legal and Regulatory Affairs) at Google in Zurich, Fenitra holds a senior leadership position at one of the world's leading technology companies, where he oversees regulatory compliance for cloud infrastructure at international scale. After over 20 years of international career across Paris, Barcelona, London, and Zurich, he founded the Madagasikara Vaovao association and MGVaovao - Maison du Numérique in November 2023, convinced that his expertise in technology governance, data protection, and cloud compliance could directly benefit his country.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speech-to-speech translation prototype has been operational since April 2026 for four dialects — Official Malagasy, Betsileo, Betsimisaraka, and Sakalava — with end-to-end latency under five seconds. It constitutes a first concrete result to be improved and extended, not a finalised system. Approximately 1,000 data pairs have already been compiled, demonstrating the team's operational capacity to collect and process real dialectal data.</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5,000 people trained since the February 2024 inauguration, 550 active monthly users, and operational partnerships with Telma Madagascar, Sayna, CoderDojo Antananarivo, STEM4Good Madagascar, and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 — leadership + technical team (13 positions)</w:t>
            </w:r>
          </w:p>
        </w:tc>
        <w:tc>
          <w:tcPr>
            <w:tcW w:type="dxa" w:w="4533"/>
          </w:tcPr>
          <w:p>
            <w:r>
              <w:rPr>
                <w:rFonts w:ascii="Calibri" w:hAnsi="Calibri"/>
                <w:sz w:val="20"/>
              </w:rPr>
              <w:t>192,852</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Field collection — 20 collectors × USD 133 × 4 months</w:t>
            </w:r>
          </w:p>
        </w:tc>
        <w:tc>
          <w:tcPr>
            <w:tcW w:type="dxa" w:w="4533"/>
          </w:tcPr>
          <w:p>
            <w:r>
              <w:rPr>
                <w:rFonts w:ascii="Calibri" w:hAnsi="Calibri"/>
                <w:sz w:val="20"/>
              </w:rPr>
              <w:t>10,640</w:t>
            </w:r>
          </w:p>
        </w:tc>
      </w:tr>
      <w:tr>
        <w:tc>
          <w:tcPr>
            <w:tcW w:type="dxa" w:w="4533"/>
          </w:tcPr>
          <w:p>
            <w:r>
              <w:rPr>
                <w:rFonts w:ascii="Calibri" w:hAnsi="Calibri"/>
                <w:sz w:val="20"/>
              </w:rPr>
              <w:t>4. Annotation &amp; ground truth — 9 annotators × USD 133 × 3 months</w:t>
            </w:r>
          </w:p>
        </w:tc>
        <w:tc>
          <w:tcPr>
            <w:tcW w:type="dxa" w:w="4533"/>
          </w:tcPr>
          <w:p>
            <w:r>
              <w:rPr>
                <w:rFonts w:ascii="Calibri" w:hAnsi="Calibri"/>
                <w:sz w:val="20"/>
              </w:rPr>
              <w:t>3,591</w:t>
            </w:r>
          </w:p>
        </w:tc>
      </w:tr>
      <w:tr>
        <w:tc>
          <w:tcPr>
            <w:tcW w:type="dxa" w:w="4533"/>
          </w:tcPr>
          <w:p>
            <w:r>
              <w:rPr>
                <w:rFonts w:ascii="Calibri" w:hAnsi="Calibri"/>
                <w:sz w:val="20"/>
              </w:rPr>
              <w:t>5. Travel and field activities</w:t>
            </w:r>
          </w:p>
        </w:tc>
        <w:tc>
          <w:tcPr>
            <w:tcW w:type="dxa" w:w="4533"/>
          </w:tcPr>
          <w:p>
            <w:r>
              <w:rPr>
                <w:rFonts w:ascii="Calibri" w:hAnsi="Calibri"/>
                <w:sz w:val="20"/>
              </w:rPr>
              <w:t>16,000</w:t>
            </w:r>
          </w:p>
        </w:tc>
      </w:tr>
      <w:tr>
        <w:tc>
          <w:tcPr>
            <w:tcW w:type="dxa" w:w="4533"/>
          </w:tcPr>
          <w:p>
            <w:r>
              <w:rPr>
                <w:rFonts w:ascii="Calibri" w:hAnsi="Calibri"/>
                <w:sz w:val="20"/>
              </w:rPr>
              <w:t>6. Workshops, meetings and training</w:t>
            </w:r>
          </w:p>
        </w:tc>
        <w:tc>
          <w:tcPr>
            <w:tcW w:type="dxa" w:w="4533"/>
          </w:tcPr>
          <w:p>
            <w:r>
              <w:rPr>
                <w:rFonts w:ascii="Calibri" w:hAnsi="Calibri"/>
                <w:sz w:val="20"/>
              </w:rPr>
              <w:t>4,500</w:t>
            </w:r>
          </w:p>
        </w:tc>
      </w:tr>
      <w:tr>
        <w:tc>
          <w:tcPr>
            <w:tcW w:type="dxa" w:w="4533"/>
          </w:tcPr>
          <w:p>
            <w:r>
              <w:rPr>
                <w:rFonts w:ascii="Calibri" w:hAnsi="Calibri"/>
                <w:sz w:val="20"/>
              </w:rPr>
              <w:t>7. Communications and outreach</w:t>
            </w:r>
          </w:p>
        </w:tc>
        <w:tc>
          <w:tcPr>
            <w:tcW w:type="dxa" w:w="4533"/>
          </w:tcPr>
          <w:p>
            <w:r>
              <w:rPr>
                <w:rFonts w:ascii="Calibri" w:hAnsi="Calibri"/>
                <w:sz w:val="20"/>
              </w:rPr>
              <w:t>1,500</w:t>
            </w:r>
          </w:p>
        </w:tc>
      </w:tr>
      <w:tr>
        <w:tc>
          <w:tcPr>
            <w:tcW w:type="dxa" w:w="4533"/>
          </w:tcPr>
          <w:p>
            <w:r>
              <w:rPr>
                <w:rFonts w:ascii="Calibri" w:hAnsi="Calibri"/>
                <w:sz w:val="20"/>
              </w:rPr>
              <w:t>8.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238,083</w:t>
            </w:r>
          </w:p>
        </w:tc>
      </w:tr>
      <w:tr>
        <w:tc>
          <w:tcPr>
            <w:tcW w:type="dxa" w:w="4533"/>
          </w:tcPr>
          <w:p>
            <w:r>
              <w:rPr>
                <w:rFonts w:ascii="Calibri" w:hAnsi="Calibri"/>
                <w:sz w:val="20"/>
              </w:rPr>
              <w:t>9. Overhead / Indirect Costs (5%)</w:t>
            </w:r>
          </w:p>
        </w:tc>
        <w:tc>
          <w:tcPr>
            <w:tcW w:type="dxa" w:w="4533"/>
          </w:tcPr>
          <w:p>
            <w:r>
              <w:rPr>
                <w:rFonts w:ascii="Calibri" w:hAnsi="Calibri"/>
                <w:sz w:val="20"/>
              </w:rPr>
              <w:t>11,904</w:t>
            </w:r>
          </w:p>
        </w:tc>
      </w:tr>
      <w:tr>
        <w:tc>
          <w:tcPr>
            <w:tcW w:type="dxa" w:w="4533"/>
          </w:tcPr>
          <w:p>
            <w:r>
              <w:rPr>
                <w:rFonts w:ascii="Calibri" w:hAnsi="Calibri"/>
                <w:b/>
                <w:sz w:val="20"/>
              </w:rPr>
              <w:t>Grand Total</w:t>
            </w:r>
          </w:p>
        </w:tc>
        <w:tc>
          <w:tcPr>
            <w:tcW w:type="dxa" w:w="4533"/>
          </w:tcPr>
          <w:p>
            <w:r>
              <w:rPr>
                <w:rFonts w:ascii="Calibri" w:hAnsi="Calibri"/>
                <w:b/>
                <w:sz w:val="20"/>
              </w:rPr>
              <w:t>249,987</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249,987 faithfully reflects the planned activities and the real cost structure of the Malagasy context, remaining below the USD 250,000 ceiling for Category 3.</w:t>
        <w:br/>
        <w:br/>
        <w:t>Personnel (USD 192,852) covers 13 positions over eighteen months: the five permanent leadership team members (founder at 50%, local director, Technical ML Project Lead, Data Operations Project Lead, and partnerships project lead starting month 7), plus eight developers — backend, frontend, AI, data science, DevOps — paid at 1,500,000 MGA per month (USD 333 each), fully included in the LINGUA Africa budget.</w:t>
        <w:br/>
        <w:br/>
        <w:t>Field collection (USD 10,640) pays 20 field collectors at USD 133/month (600,000 MGA) over four active collection months (20 × 133 × 4 = USD 10,640).</w:t>
        <w:br/>
        <w:br/>
        <w:t>Annotation and ground truth (USD 3,591) pays 9 transcription annotators at USD 133/month (600,000 MGA) over three active processing months (9 × 133 × 3 = USD 3,591).</w:t>
        <w:br/>
        <w:br/>
        <w:t>Equipment and software (USD 8,000) covers six laptops and field recording hardware. Travel (USD 16,000) covers eighteen dialect regions. Workshops (USD 4,500) fund field team training, a final dissemination event, and a regional conference. Overhead is capped at 5% (USD 11,904).</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Telma and/or Sayna.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