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a community centre welcoming over 550 people per month that has trained more than 5,000 individuals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is a dedicated digital inclusion initiative for children with Down syndrome (trisomy 21) — a concrete demonstration that the organisation's mission extends to every form of exclusion, including disability.</w:t>
        <w:br/>
        <w:br/>
        <w:t>The team carrying this project is deeply locally rooted and technically capable at an international level. Fenitra Ravelomanantsoa, founder of Madagasikara Vaovao, is Head of Cloud Regulatory (Director of Cloud Legal and Regulatory Affairs) at Google in Zurich, where he oversees regulatory compliance for cloud infrastructure at international scale.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welcomes over 550 young people and adults each month through its digital literacy programmes — E-JERY (internet and digital discovery) and HOLI DEV (coding and computational thinking) — both supported by Telma Madagascar. Most significantly, Maison du Numérique runs a dedicated digital inclusion programme for children with Down syndrome (trisomy 21), an initiative led by its volunteer team that demonstrates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github.com/mgvaovao/ml and github.com/mgvaovao/backend_ia,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 monthly users, 5,000 people trained since inauguration, an established partner network (Telma, Sayna, CoderDojo Antananarivo, STEM4Good Madagascar, ANKY),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led by volunteers — documented daily practice that places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digital law specialist and Head of Cloud Regulatory at Google, personally ensures the project's compliance with international data protection standards. This level of legal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Telma Madagascar, Sayna, CoderDojo Antananarivo, STEM4Good Madagascar, and ANKY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Telma Madagascar for the E-JERY and HOLI DEV programmes, Sayna, CoderDojo Antananarivo, STEM4Good Madagascar, and ANKY. These partnerships are active and documented since the inauguration of Maison du Numérique in February 2024.</w:t>
        <w:br/>
        <w:br/>
        <w:t>Supplementary documentation is directly accessible in the public GitHub repositories. The repository github.com/mgvaovao/ml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A legal professional specialising in digital law and Head of Cloud Regulatory (Director of Cloud Legal and Regulatory Affairs) at Google in Zurich, Fenitra holds a senior leadership position at one of the world's leading technology companies, where he oversees regulatory compliance for cloud infrastructure at international scale. After over 20 years of international career across Paris, Barcelona, London, and Zurich, he founded the Madagasikara Vaovao association and MGVaovao - Maison du Numérique in November 2023, convinced that his expertise in technology governance, data protection, and cloud compliance could directly benefit his country.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speech-to-speech translation prototype has been operational since April 2026 for four dialects — Official Malagasy, Betsileo, Betsimisaraka, and Sakalava — with end-to-end latency under five seconds. It constitutes a first concrete result to be improved and extended, not a finalised system. Approximately 1,000 data pairs have already been compiled, demonstrating the team's operational capacity to collect and process real dialectal data.</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5,000 people trained since the February 2024 inauguration, 550 active monthly users, and operational partnerships with Telma Madagascar, Sayna, CoderDojo Antananarivo, STEM4Good Madagascar, and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w:t>
            </w:r>
          </w:p>
        </w:tc>
        <w:tc>
          <w:tcPr>
            <w:tcW w:type="dxa" w:w="4533"/>
          </w:tcPr>
          <w:p>
            <w:r>
              <w:rPr>
                <w:rFonts w:ascii="Calibri" w:hAnsi="Calibri"/>
                <w:sz w:val="20"/>
              </w:rPr>
              <w:t>178,500</w:t>
            </w:r>
          </w:p>
        </w:tc>
      </w:tr>
      <w:tr>
        <w:tc>
          <w:tcPr>
            <w:tcW w:type="dxa" w:w="4533"/>
          </w:tcPr>
          <w:p>
            <w:r>
              <w:rPr>
                <w:rFonts w:ascii="Calibri" w:hAnsi="Calibri"/>
                <w:sz w:val="20"/>
              </w:rPr>
              <w:t>2. Equipment and materials</w:t>
            </w:r>
          </w:p>
        </w:tc>
        <w:tc>
          <w:tcPr>
            <w:tcW w:type="dxa" w:w="4533"/>
          </w:tcPr>
          <w:p>
            <w:r>
              <w:rPr>
                <w:rFonts w:ascii="Calibri" w:hAnsi="Calibri"/>
                <w:sz w:val="20"/>
              </w:rPr>
              <w:t>8,000</w:t>
            </w:r>
          </w:p>
        </w:tc>
      </w:tr>
      <w:tr>
        <w:tc>
          <w:tcPr>
            <w:tcW w:type="dxa" w:w="4533"/>
          </w:tcPr>
          <w:p>
            <w:r>
              <w:rPr>
                <w:rFonts w:ascii="Calibri" w:hAnsi="Calibri"/>
                <w:sz w:val="20"/>
              </w:rPr>
              <w:t>3. Travel and field activities</w:t>
            </w:r>
          </w:p>
        </w:tc>
        <w:tc>
          <w:tcPr>
            <w:tcW w:type="dxa" w:w="4533"/>
          </w:tcPr>
          <w:p>
            <w:r>
              <w:rPr>
                <w:rFonts w:ascii="Calibri" w:hAnsi="Calibri"/>
                <w:sz w:val="20"/>
              </w:rPr>
              <w:t>16,000</w:t>
            </w:r>
          </w:p>
        </w:tc>
      </w:tr>
      <w:tr>
        <w:tc>
          <w:tcPr>
            <w:tcW w:type="dxa" w:w="4533"/>
          </w:tcPr>
          <w:p>
            <w:r>
              <w:rPr>
                <w:rFonts w:ascii="Calibri" w:hAnsi="Calibri"/>
                <w:sz w:val="20"/>
              </w:rPr>
              <w:t>4. Training and workshops</w:t>
            </w:r>
          </w:p>
        </w:tc>
        <w:tc>
          <w:tcPr>
            <w:tcW w:type="dxa" w:w="4533"/>
          </w:tcPr>
          <w:p>
            <w:r>
              <w:rPr>
                <w:rFonts w:ascii="Calibri" w:hAnsi="Calibri"/>
                <w:sz w:val="20"/>
              </w:rPr>
              <w:t>4,500</w:t>
            </w:r>
          </w:p>
        </w:tc>
      </w:tr>
      <w:tr>
        <w:tc>
          <w:tcPr>
            <w:tcW w:type="dxa" w:w="4533"/>
          </w:tcPr>
          <w:p>
            <w:r>
              <w:rPr>
                <w:rFonts w:ascii="Calibri" w:hAnsi="Calibri"/>
                <w:sz w:val="20"/>
              </w:rPr>
              <w:t>5. Communication and documentation</w:t>
            </w:r>
          </w:p>
        </w:tc>
        <w:tc>
          <w:tcPr>
            <w:tcW w:type="dxa" w:w="4533"/>
          </w:tcPr>
          <w:p>
            <w:r>
              <w:rPr>
                <w:rFonts w:ascii="Calibri" w:hAnsi="Calibri"/>
                <w:sz w:val="20"/>
              </w:rPr>
              <w:t>1,500</w:t>
            </w:r>
          </w:p>
        </w:tc>
      </w:tr>
      <w:tr>
        <w:tc>
          <w:tcPr>
            <w:tcW w:type="dxa" w:w="4533"/>
          </w:tcPr>
          <w:p>
            <w:r>
              <w:rPr>
                <w:rFonts w:ascii="Calibri" w:hAnsi="Calibri"/>
                <w:sz w:val="20"/>
              </w:rPr>
              <w:t>6.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209,500</w:t>
            </w:r>
          </w:p>
        </w:tc>
      </w:tr>
      <w:tr>
        <w:tc>
          <w:tcPr>
            <w:tcW w:type="dxa" w:w="4533"/>
          </w:tcPr>
          <w:p>
            <w:r>
              <w:rPr>
                <w:rFonts w:ascii="Calibri" w:hAnsi="Calibri"/>
                <w:sz w:val="20"/>
              </w:rPr>
              <w:t>7. Overhead / Indirect Costs (5%)</w:t>
            </w:r>
          </w:p>
        </w:tc>
        <w:tc>
          <w:tcPr>
            <w:tcW w:type="dxa" w:w="4533"/>
          </w:tcPr>
          <w:p>
            <w:r>
              <w:rPr>
                <w:rFonts w:ascii="Calibri" w:hAnsi="Calibri"/>
                <w:sz w:val="20"/>
              </w:rPr>
              <w:t>10,500</w:t>
            </w:r>
          </w:p>
        </w:tc>
      </w:tr>
      <w:tr>
        <w:tc>
          <w:tcPr>
            <w:tcW w:type="dxa" w:w="4533"/>
          </w:tcPr>
          <w:p>
            <w:r>
              <w:rPr>
                <w:rFonts w:ascii="Calibri" w:hAnsi="Calibri"/>
                <w:b/>
                <w:sz w:val="20"/>
              </w:rPr>
              <w:t>Grand Total</w:t>
            </w:r>
          </w:p>
        </w:tc>
        <w:tc>
          <w:tcPr>
            <w:tcW w:type="dxa" w:w="4533"/>
          </w:tcPr>
          <w:p>
            <w:r>
              <w:rPr>
                <w:rFonts w:ascii="Calibri" w:hAnsi="Calibri"/>
                <w:b/>
                <w:sz w:val="20"/>
              </w:rPr>
              <w:t>220,000</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220,000 faithfully reflects the planned activities and the real cost structure of the Malagasy context, remaining well below the USD 250,000 ceiling for Category 3.</w:t>
        <w:br/>
        <w:br/>
        <w:t>Personnel (USD 178,500) covers the full team over eighteen months: the founder in strategic advisory at 50% (1,250 × 18 = 22,500); the local director full-time (2,000 × 18 = 36,000); the Technical ML Project Lead (1,800 × 18 = 32,400); the Data Operations Project Lead (1,800 × 18 = 32,400); a third project lead starting month 7 (1,800 × 12 = 21,600); two junior AI developers (14,400 + 8,000); and fourteen local field coordinators at USD 100 per person per month over 8 active months (14 × 100 × 8 = 11,200). Rates are fair relative to local standards while reflecting the level of expertise required.</w:t>
        <w:br/>
        <w:br/>
        <w:t>Equipment (USD 8,000) covers six laptops for the local technical team, fourteen field tablets at USD 150 each, fourteen collection microphones at USD 50 each, and connectivity hardware.</w:t>
        <w:br/>
        <w:br/>
        <w:t>Travel and field activities (USD 16,000) cover missions to fourteen geographically dispersed regions across the island, per diem, accommodation, and room rental.</w:t>
        <w:br/>
        <w:br/>
        <w:t>Workshops and training (USD 4,500) fund local coordinator training, a final dissemination workshop, and participation in a regional conference. Overhead is capped at 5% (USD 10,500), reflecting the organisation's lean structure. Frugality is a design principle throughout: the monthly operational cost in production steady-state is approximately USD 42, ensuring service sustainability long after the funded period.</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Telma and/or Sayna.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