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 shortlisted for the RSE de l'Année 2026 Award (CEO Summit Indian Ocean) —, a community centre that has reached over 5,500 unique beneficiaries (48% women, aged 7 to 65, entirely free of charge) and accompanied 2,366 certified people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are a digital inclusion initiative for children with Down syndrome (trisomy 21) — 28 children accompanied across three cohorts in partnership with Down Syndrome Madagascar — and the Ampela Online programme for women's entrepreneurship, concrete demonstrations that the organisation's mission extends to every form of exclusion.</w:t>
        <w:br/>
        <w:br/>
        <w:t>The team carrying this project is deeply locally rooted and technically capable at an international level. Fenitra Ravelomanantsoa, founder of Madagasikara Vaovao, is Head of Cloud Regulatory Affairs at Google in Zurich — the first Malagasy to reach a senior leadership position in this company. He regularly speaks at major international forums on AI governance — including the CEO Summit Indian Ocean (April 2026), where he is also a candidate for the CEO of the Year award — and the modernisation of public infrastructure through Cloud.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has reached over 5,500 unique beneficiaries through its digital literacy programmes, with 2,366 people trained and certified via e-jery, ANKY, and Madagascar DataCamp. Most significantly, Maison du Numérique runs a digital inclusion programme for children with Down syndrome (trisomy 21) — 28 children accompanied in partnership with Down Syndrome Madagascar — and the Ampela Online programme for women's entrepreneurship, initiatives that demonstrate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github.com/mgvaovao-Mdn/ml and github.com/mgvaovao-Mdn/backend_ia,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5,500 unique beneficiaries, 2,366 people trained and certified via e-jery, ANKY, and Madagascar DataCamp,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github.com/mgvaovao-Mdn/backend_ia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github.com/mgvaovao-Mdn/ml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github.com/mgvaovao-Mdn/backend_ia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 28 children accompanied in partnership with Down Syndrome Madagascar — and the Ampela Online programme for women's entrepreneurship, documented daily practices that place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Head of Cloud Regulatory Affairs at Google, personally ensures the project's compliance with international data protection standards. This level of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e-jery, ANKY, Madagascar DataCamp, and Down Syndrome Madagascar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e-jery (digital training, 1,483 people certified), ANKY (472), Madagascar DataCamp (411), and Down Syndrome Madagascar (trisomy 21 programme). These partnerships are active and documented since the inauguration of Maison du Numérique in February 2024.</w:t>
        <w:br/>
        <w:br/>
        <w:t>Supplementary documentation is directly accessible in the public GitHub repositories. The repository github.com/mgvaovao-Mdn/ml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github.com/mgvaovao-Mdn/backend_ia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Head of Cloud Regulatory Affairs at Google in Zurich — the first Malagasy to reach a senior leadership position in this company —, Fenitra oversees cloud regulatory compliance at international scale. A speaker at the CEO Summit Indian Ocean (April 2026) and candidate for the CEO of the Year award, he founded the Madagasikara Vaovao association and MGVaovao - Maison du Numérique in November 2023 on a unique philanthropic model: funded exclusively from the founder's personal resources, Maison du Numérique provides fully free access (0 ariary) to digital training for Malagasy communities.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 (28 children accompanied in partnership with Down Syndrome Madagascar).</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prototype has been operational since April 2026 for four dialects (Official Malagasy, Betsileo, Betsimisaraka, Sakalava), with end-to-end latency under five seconds; it is a first result to be extended, not a finalised system. Approximately 1,000 data pairs have already been compiled, including text-text pairs for neural translation and text-audio pairs for speech synthesis.</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over 5,500 unique beneficiaries since its February 2024 inauguration, 2,366 people trained and certified via e-jery (1,483), ANKY (472), and Madagascar DataCamp (411), and 28 children with Down syndrome accompanied in partnership with Down Syndrome Madagascar. Shortlisted for the RSE de l'Année 2026 Award (CEO Summit Indian Ocean), MGVaovao benefits from external recognition of its social impact.</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(12 positions)</w:t>
            </w:r>
          </w:p>
        </w:tc>
        <w:tc>
          <w:tcPr>
            <w:tcW w:type="dxa" w:w="4533"/>
          </w:tcPr>
          <w:p>
            <w:r>
              <w:rPr>
                <w:rFonts w:ascii="Calibri" w:hAnsi="Calibri"/>
                <w:sz w:val="20"/>
              </w:rPr>
              <w:t>152,436</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Data collection and processing</w:t>
            </w:r>
          </w:p>
        </w:tc>
        <w:tc>
          <w:tcPr>
            <w:tcW w:type="dxa" w:w="4533"/>
          </w:tcPr>
          <w:p>
            <w:r>
              <w:rPr>
                <w:rFonts w:ascii="Calibri" w:hAnsi="Calibri"/>
                <w:sz w:val="20"/>
              </w:rPr>
              <w:t>14,231</w:t>
            </w:r>
          </w:p>
        </w:tc>
      </w:tr>
      <w:tr>
        <w:tc>
          <w:tcPr>
            <w:tcW w:type="dxa" w:w="4533"/>
          </w:tcPr>
          <w:p>
            <w:r>
              <w:rPr>
                <w:rFonts w:ascii="Calibri" w:hAnsi="Calibri"/>
                <w:sz w:val="20"/>
              </w:rPr>
              <w:t>4. Travel and field activities</w:t>
            </w:r>
          </w:p>
        </w:tc>
        <w:tc>
          <w:tcPr>
            <w:tcW w:type="dxa" w:w="4533"/>
          </w:tcPr>
          <w:p>
            <w:r>
              <w:rPr>
                <w:rFonts w:ascii="Calibri" w:hAnsi="Calibri"/>
                <w:sz w:val="20"/>
              </w:rPr>
              <w:t>20,000</w:t>
            </w:r>
          </w:p>
        </w:tc>
      </w:tr>
      <w:tr>
        <w:tc>
          <w:tcPr>
            <w:tcW w:type="dxa" w:w="4533"/>
          </w:tcPr>
          <w:p>
            <w:r>
              <w:rPr>
                <w:rFonts w:ascii="Calibri" w:hAnsi="Calibri"/>
                <w:sz w:val="20"/>
              </w:rPr>
              <w:t>5. Training and workshops</w:t>
            </w:r>
          </w:p>
        </w:tc>
        <w:tc>
          <w:tcPr>
            <w:tcW w:type="dxa" w:w="4533"/>
          </w:tcPr>
          <w:p>
            <w:r>
              <w:rPr>
                <w:rFonts w:ascii="Calibri" w:hAnsi="Calibri"/>
                <w:sz w:val="20"/>
              </w:rPr>
              <w:t>22,000</w:t>
            </w:r>
          </w:p>
        </w:tc>
      </w:tr>
      <w:tr>
        <w:tc>
          <w:tcPr>
            <w:tcW w:type="dxa" w:w="4533"/>
          </w:tcPr>
          <w:p>
            <w:r>
              <w:rPr>
                <w:rFonts w:ascii="Calibri" w:hAnsi="Calibri"/>
                <w:sz w:val="20"/>
              </w:rPr>
              <w:t>6. Communications and outreach</w:t>
            </w:r>
          </w:p>
        </w:tc>
        <w:tc>
          <w:tcPr>
            <w:tcW w:type="dxa" w:w="4533"/>
          </w:tcPr>
          <w:p>
            <w:r>
              <w:rPr>
                <w:rFonts w:ascii="Calibri" w:hAnsi="Calibri"/>
                <w:sz w:val="20"/>
              </w:rPr>
              <w:t>2,500</w:t>
            </w:r>
          </w:p>
        </w:tc>
      </w:tr>
      <w:tr>
        <w:tc>
          <w:tcPr>
            <w:tcW w:type="dxa" w:w="4533"/>
          </w:tcPr>
          <w:p>
            <w:r>
              <w:rPr>
                <w:rFonts w:ascii="Calibri" w:hAnsi="Calibri"/>
                <w:sz w:val="20"/>
              </w:rPr>
              <w:t>7.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220,167</w:t>
            </w:r>
          </w:p>
        </w:tc>
      </w:tr>
      <w:tr>
        <w:tc>
          <w:tcPr>
            <w:tcW w:type="dxa" w:w="4533"/>
          </w:tcPr>
          <w:p>
            <w:r>
              <w:rPr>
                <w:rFonts w:ascii="Calibri" w:hAnsi="Calibri"/>
                <w:sz w:val="20"/>
              </w:rPr>
              <w:t>Overhead / Indirect Costs (5%)</w:t>
            </w:r>
          </w:p>
        </w:tc>
        <w:tc>
          <w:tcPr>
            <w:tcW w:type="dxa" w:w="4533"/>
          </w:tcPr>
          <w:p>
            <w:r>
              <w:rPr>
                <w:rFonts w:ascii="Calibri" w:hAnsi="Calibri"/>
                <w:sz w:val="20"/>
              </w:rPr>
              <w:t>11,008</w:t>
            </w:r>
          </w:p>
        </w:tc>
      </w:tr>
      <w:tr>
        <w:tc>
          <w:tcPr>
            <w:tcW w:type="dxa" w:w="4533"/>
          </w:tcPr>
          <w:p>
            <w:r>
              <w:rPr>
                <w:rFonts w:ascii="Calibri" w:hAnsi="Calibri"/>
                <w:b/>
                <w:sz w:val="20"/>
              </w:rPr>
              <w:t>Grand Total</w:t>
            </w:r>
          </w:p>
        </w:tc>
        <w:tc>
          <w:tcPr>
            <w:tcW w:type="dxa" w:w="4533"/>
          </w:tcPr>
          <w:p>
            <w:r>
              <w:rPr>
                <w:rFonts w:ascii="Calibri" w:hAnsi="Calibri"/>
                <w:b/>
                <w:sz w:val="20"/>
              </w:rPr>
              <w:t>231,175</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231,175 faithfully reflects the planned activities and the real cost structure of the Malagasy context, remaining well below the USD 250,000 ceiling for Category 3.</w:t>
        <w:br/>
        <w:br/>
        <w:t>Personnel (USD 152,436) covers 12 positions over eighteen months. The leadership team comprises a founder at 50% time, a local director, a Technical ML Project Lead, a Data and Operations Project Lead and a Partnerships Project Lead joining at month 7, each compensated at USD 1,333 per month (MGA 6,000,000). The technical team consists of seven specialized developers — backend, frontend, mobile, AI/ML, data scientist, DevOps and data engineer — paid at USD 333 per month (MGA 1,500,000) each.</w:t>
        <w:br/>
        <w:br/>
        <w:t>Data collection and processing (USD 14,231) covers twenty field collectors active for four months at USD 133/month as well as nine transcription annotators active for three months at the same rate.</w:t>
        <w:br/>
        <w:br/>
        <w:t>Travel (USD 20,000) covers regional missions across fourteen regions, per diem for field supervisors and local transport for collection coordinators within their communities. Training and workshops (USD 22,000) fund a national tour of eighteen cities (transport, accommodation, conference room rental and training materials), an initial coordinators training session, a final dissemination event and participation in a regional NLP conference. Communications (USD 2,500) cover semi-annual reports, digital tools and a social media outreach strategy. Overhead is capped at 5% (USD 11,008), well within the 12% maximum.</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github.com/mgvaovao-Mdn/ml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e-jery and/or ANKY and Down Syndrome Madagascar.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