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RDM Datalab Beta Data Dictionary</w:t>
      </w:r>
    </w:p>
    <w:p>
      <w:r>
        <w:t>This document describes the core tables and fields in the RDM Datalab economic benchmarking beta product. Definitions draw on the U.S. Census Bureau’s Annual Business Survey (ABS) and related economic series, as well as the U.S. Bureau of Labor Statistics’ Quarterly Census of Employment and Wages (QCEW). Derived metrics and join keys used in the RDM Datalab portfolio are documented explicitly.</w:t>
      </w:r>
    </w:p>
    <w:p>
      <w:pPr>
        <w:pStyle w:val="Heading2"/>
      </w:pPr>
      <w:r>
        <w:t>Table: econ_bnchmrk_abs_qcew (Merged ABS + QCEW Benchmarks)</w:t>
      </w:r>
    </w:p>
    <w:tbl>
      <w:tblPr>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Type</w:t>
            </w:r>
          </w:p>
        </w:tc>
        <w:tc>
          <w:tcPr>
            <w:tcW w:type="dxa" w:w="2160"/>
          </w:tcPr>
          <w:p>
            <w:r>
              <w:t>Definition / Calculation</w:t>
            </w:r>
          </w:p>
        </w:tc>
        <w:tc>
          <w:tcPr>
            <w:tcW w:type="dxa" w:w="2160"/>
          </w:tcPr>
          <w:p>
            <w:r>
              <w:t>Additional notes (source, caveats)</w:t>
            </w:r>
          </w:p>
        </w:tc>
      </w:tr>
      <w:tr>
        <w:tc>
          <w:tcPr>
            <w:tcW w:type="dxa" w:w="2160"/>
          </w:tcPr>
          <w:p>
            <w:r>
              <w:t>year_num</w:t>
            </w:r>
          </w:p>
        </w:tc>
        <w:tc>
          <w:tcPr>
            <w:tcW w:type="dxa" w:w="2160"/>
          </w:tcPr>
          <w:p>
            <w:r>
              <w:t>INT64</w:t>
            </w:r>
          </w:p>
        </w:tc>
        <w:tc>
          <w:tcPr>
            <w:tcW w:type="dxa" w:w="2160"/>
          </w:tcPr>
          <w:p>
            <w:r>
              <w:t>Calendar year of observation for the combined ABS–QCEW record.</w:t>
            </w:r>
          </w:p>
        </w:tc>
        <w:tc>
          <w:tcPr>
            <w:tcW w:type="dxa" w:w="2160"/>
          </w:tcPr>
          <w:p>
            <w:r>
              <w:t>For QCEW, employment and wage values represent annual averages and totals for this calendar year. For ABS, firm, employment, payroll, and receipt values correspond to the survey’s reference year.</w:t>
            </w:r>
          </w:p>
        </w:tc>
      </w:tr>
      <w:tr>
        <w:tc>
          <w:tcPr>
            <w:tcW w:type="dxa" w:w="2160"/>
          </w:tcPr>
          <w:p>
            <w:r>
              <w:t>state_cnty_fips_cd</w:t>
            </w:r>
          </w:p>
        </w:tc>
        <w:tc>
          <w:tcPr>
            <w:tcW w:type="dxa" w:w="2160"/>
          </w:tcPr>
          <w:p>
            <w:r>
              <w:t>STRING</w:t>
            </w:r>
          </w:p>
        </w:tc>
        <w:tc>
          <w:tcPr>
            <w:tcW w:type="dxa" w:w="2160"/>
          </w:tcPr>
          <w:p>
            <w:r>
              <w:t>Five‑digit Federal Information Processing Series (FIPS) code identifying the county: two‑digit state FIPS code concatenated with three‑digit county FIPS code.</w:t>
            </w:r>
          </w:p>
        </w:tc>
        <w:tc>
          <w:tcPr>
            <w:tcW w:type="dxa" w:w="2160"/>
          </w:tcPr>
          <w:p>
            <w:r>
              <w:t>Example: 06087 = Santa Cruz County, CA (state 06, county 087). Codes ending in “999” represent records where ABS data are available only at a state or multi‑county level (county unspecified).</w:t>
            </w:r>
          </w:p>
        </w:tc>
      </w:tr>
      <w:tr>
        <w:tc>
          <w:tcPr>
            <w:tcW w:type="dxa" w:w="2160"/>
          </w:tcPr>
          <w:p>
            <w:r>
              <w:t>naics2_sector_cd</w:t>
            </w:r>
          </w:p>
        </w:tc>
        <w:tc>
          <w:tcPr>
            <w:tcW w:type="dxa" w:w="2160"/>
          </w:tcPr>
          <w:p>
            <w:r>
              <w:t>STRING</w:t>
            </w:r>
          </w:p>
        </w:tc>
        <w:tc>
          <w:tcPr>
            <w:tcW w:type="dxa" w:w="2160"/>
          </w:tcPr>
          <w:p>
            <w:r>
              <w:t>Two‑digit North American Industry Classification System (NAICS) sector code.</w:t>
            </w:r>
          </w:p>
        </w:tc>
        <w:tc>
          <w:tcPr>
            <w:tcW w:type="dxa" w:w="2160"/>
          </w:tcPr>
          <w:p>
            <w:r>
              <w:t>NAICS sectors are the highest level of industry aggregation. There are 20 sectors in NAICS. Some sectors are represented by ranges (e.g., 31–33 Manufacturing, 44–45 Retail Trade, 48–49 Transportation and Warehousing); in this table each sector appears as a specific two‑digit code.</w:t>
            </w:r>
          </w:p>
        </w:tc>
      </w:tr>
      <w:tr>
        <w:tc>
          <w:tcPr>
            <w:tcW w:type="dxa" w:w="2160"/>
          </w:tcPr>
          <w:p>
            <w:r>
              <w:t>naics2_sector_desc</w:t>
            </w:r>
          </w:p>
        </w:tc>
        <w:tc>
          <w:tcPr>
            <w:tcW w:type="dxa" w:w="2160"/>
          </w:tcPr>
          <w:p>
            <w:r>
              <w:t>STRING</w:t>
            </w:r>
          </w:p>
        </w:tc>
        <w:tc>
          <w:tcPr>
            <w:tcW w:type="dxa" w:w="2160"/>
          </w:tcPr>
          <w:p>
            <w:r>
              <w:t>Short text description of the two‑digit NAICS sector.</w:t>
            </w:r>
          </w:p>
        </w:tc>
        <w:tc>
          <w:tcPr>
            <w:tcW w:type="dxa" w:w="2160"/>
          </w:tcPr>
          <w:p>
            <w:r>
              <w:t>Derived from the `ref_naics2_uscb` lookup table (e.g., 52 = Finance and Insurance, 62 = Health Care and Social Assistance).</w:t>
            </w:r>
          </w:p>
        </w:tc>
      </w:tr>
      <w:tr>
        <w:tc>
          <w:tcPr>
            <w:tcW w:type="dxa" w:w="2160"/>
          </w:tcPr>
          <w:p>
            <w:r>
              <w:t>cnty_nm</w:t>
            </w:r>
          </w:p>
        </w:tc>
        <w:tc>
          <w:tcPr>
            <w:tcW w:type="dxa" w:w="2160"/>
          </w:tcPr>
          <w:p>
            <w:r>
              <w:t>STRING</w:t>
            </w:r>
          </w:p>
        </w:tc>
        <w:tc>
          <w:tcPr>
            <w:tcW w:type="dxa" w:w="2160"/>
          </w:tcPr>
          <w:p>
            <w:r>
              <w:t>County or planning‑region name associated with the FIPS code.</w:t>
            </w:r>
          </w:p>
        </w:tc>
        <w:tc>
          <w:tcPr>
            <w:tcW w:type="dxa" w:w="2160"/>
          </w:tcPr>
          <w:p>
            <w:r>
              <w:t>Typically the Census county name (e.g., “Santa Cruz County”). Null where ABS reports data for “unspecified county” within a state (FIPS ending with 999) or where the geography is broader than county.</w:t>
            </w:r>
          </w:p>
        </w:tc>
      </w:tr>
      <w:tr>
        <w:tc>
          <w:tcPr>
            <w:tcW w:type="dxa" w:w="2160"/>
          </w:tcPr>
          <w:p>
            <w:r>
              <w:t>state_nm</w:t>
            </w:r>
          </w:p>
        </w:tc>
        <w:tc>
          <w:tcPr>
            <w:tcW w:type="dxa" w:w="2160"/>
          </w:tcPr>
          <w:p>
            <w:r>
              <w:t>STRING</w:t>
            </w:r>
          </w:p>
        </w:tc>
        <w:tc>
          <w:tcPr>
            <w:tcW w:type="dxa" w:w="2160"/>
          </w:tcPr>
          <w:p>
            <w:r>
              <w:t>Full state name.</w:t>
            </w:r>
          </w:p>
        </w:tc>
        <w:tc>
          <w:tcPr>
            <w:tcW w:type="dxa" w:w="2160"/>
          </w:tcPr>
          <w:p>
            <w:r>
              <w:t>Examples: “California”, “Illinois”. Used for labeling and human‑readable output; can be joined from the state portion of the FIPS code if needed.</w:t>
            </w:r>
          </w:p>
        </w:tc>
      </w:tr>
      <w:tr>
        <w:tc>
          <w:tcPr>
            <w:tcW w:type="dxa" w:w="2160"/>
          </w:tcPr>
          <w:p>
            <w:r>
              <w:t>cnty_full_nm</w:t>
            </w:r>
          </w:p>
        </w:tc>
        <w:tc>
          <w:tcPr>
            <w:tcW w:type="dxa" w:w="2160"/>
          </w:tcPr>
          <w:p>
            <w:r>
              <w:t>STRING</w:t>
            </w:r>
          </w:p>
        </w:tc>
        <w:tc>
          <w:tcPr>
            <w:tcW w:type="dxa" w:w="2160"/>
          </w:tcPr>
          <w:p>
            <w:r>
              <w:t>Human‑readable county label combining county and state.</w:t>
            </w:r>
          </w:p>
        </w:tc>
        <w:tc>
          <w:tcPr>
            <w:tcW w:type="dxa" w:w="2160"/>
          </w:tcPr>
          <w:p>
            <w:r>
              <w:t>Typically formatted as “{County name}, {State postal code}” (for example, “Santa Cruz County, CA”). Used primarily for dashboard display and reporting.</w:t>
            </w:r>
          </w:p>
        </w:tc>
      </w:tr>
      <w:tr>
        <w:tc>
          <w:tcPr>
            <w:tcW w:type="dxa" w:w="2160"/>
          </w:tcPr>
          <w:p>
            <w:r>
              <w:t>geo_id</w:t>
            </w:r>
          </w:p>
        </w:tc>
        <w:tc>
          <w:tcPr>
            <w:tcW w:type="dxa" w:w="2160"/>
          </w:tcPr>
          <w:p>
            <w:r>
              <w:t>STRING</w:t>
            </w:r>
          </w:p>
        </w:tc>
        <w:tc>
          <w:tcPr>
            <w:tcW w:type="dxa" w:w="2160"/>
          </w:tcPr>
          <w:p>
            <w:r>
              <w:t>Census GEOID for the county‑level geographic entity.</w:t>
            </w:r>
          </w:p>
        </w:tc>
        <w:tc>
          <w:tcPr>
            <w:tcW w:type="dxa" w:w="2160"/>
          </w:tcPr>
          <w:p>
            <w:r>
              <w:t>GEOIDs are stable numeric identifiers used by the Census Bureau to uniquely identify geographic areas. At the county level this generally corresponds to the five‑digit state+county FIPS, sometimes prefixed or embedded in longer GEOID strings. Null for unspecified‑county aggregates.</w:t>
            </w:r>
          </w:p>
        </w:tc>
      </w:tr>
      <w:tr>
        <w:tc>
          <w:tcPr>
            <w:tcW w:type="dxa" w:w="2160"/>
          </w:tcPr>
          <w:p>
            <w:r>
              <w:t>ind_level_num</w:t>
            </w:r>
          </w:p>
        </w:tc>
        <w:tc>
          <w:tcPr>
            <w:tcW w:type="dxa" w:w="2160"/>
          </w:tcPr>
          <w:p>
            <w:r>
              <w:t>INT64</w:t>
            </w:r>
          </w:p>
        </w:tc>
        <w:tc>
          <w:tcPr>
            <w:tcW w:type="dxa" w:w="2160"/>
          </w:tcPr>
          <w:p>
            <w:r>
              <w:t>Industry aggregation level indicator.</w:t>
            </w:r>
          </w:p>
        </w:tc>
        <w:tc>
          <w:tcPr>
            <w:tcW w:type="dxa" w:w="2160"/>
          </w:tcPr>
          <w:p>
            <w:r>
              <w:t>Value 2 denotes data aggregated to the NAICS two‑digit “sector” level. Included for compatibility with potential future releases at finer industry levels (e.g., 3‑ or 4‑digit NAICS).</w:t>
            </w:r>
          </w:p>
        </w:tc>
      </w:tr>
      <w:tr>
        <w:tc>
          <w:tcPr>
            <w:tcW w:type="dxa" w:w="2160"/>
          </w:tcPr>
          <w:p>
            <w:r>
              <w:t>abs_firm_num</w:t>
            </w:r>
          </w:p>
        </w:tc>
        <w:tc>
          <w:tcPr>
            <w:tcW w:type="dxa" w:w="2160"/>
          </w:tcPr>
          <w:p>
            <w:r>
              <w:t>INT64</w:t>
            </w:r>
          </w:p>
        </w:tc>
        <w:tc>
          <w:tcPr>
            <w:tcW w:type="dxa" w:w="2160"/>
          </w:tcPr>
          <w:p>
            <w:r>
              <w:t>Number of employer firms from the Annual Business Survey (ABS) in the county–sector–year.</w:t>
            </w:r>
          </w:p>
        </w:tc>
        <w:tc>
          <w:tcPr>
            <w:tcW w:type="dxa" w:w="2160"/>
          </w:tcPr>
          <w:p>
            <w:r>
              <w:t>In ABS and related Census business programs, a “firm” is a business organization consisting of one or more domestic establishments under common ownership or control. For multi‑establishment firms, establishments in the same industry within a geographic area are grouped and reported as one firm; employment and payroll are summed over those establishments. Only nonfarm employer firms (with payroll) are included; nonemployer businesses are excluded.</w:t>
            </w:r>
          </w:p>
        </w:tc>
      </w:tr>
      <w:tr>
        <w:tc>
          <w:tcPr>
            <w:tcW w:type="dxa" w:w="2160"/>
          </w:tcPr>
          <w:p>
            <w:r>
              <w:t>abs_emp_num</w:t>
            </w:r>
          </w:p>
        </w:tc>
        <w:tc>
          <w:tcPr>
            <w:tcW w:type="dxa" w:w="2160"/>
          </w:tcPr>
          <w:p>
            <w:r>
              <w:t>INT64</w:t>
            </w:r>
          </w:p>
        </w:tc>
        <w:tc>
          <w:tcPr>
            <w:tcW w:type="dxa" w:w="2160"/>
          </w:tcPr>
          <w:p>
            <w:r>
              <w:t>Paid employment associated with the ABS employer firms in the county–sector–year.</w:t>
            </w:r>
          </w:p>
        </w:tc>
        <w:tc>
          <w:tcPr>
            <w:tcW w:type="dxa" w:w="2160"/>
          </w:tcPr>
          <w:p>
            <w:r>
              <w:t>Paid employment consists of full‑ and part‑time employees, including salaried officers and executives of corporations, who are on the payroll during the pay period including March 12 of the reference year. It includes employees on paid sick leave, holidays, and vacations; it excludes proprietors and partners of unincorporated businesses.</w:t>
            </w:r>
          </w:p>
        </w:tc>
      </w:tr>
      <w:tr>
        <w:tc>
          <w:tcPr>
            <w:tcW w:type="dxa" w:w="2160"/>
          </w:tcPr>
          <w:p>
            <w:r>
              <w:t>abs_payroll_usd_amt</w:t>
            </w:r>
          </w:p>
        </w:tc>
        <w:tc>
          <w:tcPr>
            <w:tcW w:type="dxa" w:w="2160"/>
          </w:tcPr>
          <w:p>
            <w:r>
              <w:t>NUMERIC</w:t>
            </w:r>
          </w:p>
        </w:tc>
        <w:tc>
          <w:tcPr>
            <w:tcW w:type="dxa" w:w="2160"/>
          </w:tcPr>
          <w:p>
            <w:r>
              <w:t>Total annual payroll for ABS employer firms in the county–sector–year, expressed in U.S. dollars.</w:t>
            </w:r>
          </w:p>
        </w:tc>
        <w:tc>
          <w:tcPr>
            <w:tcW w:type="dxa" w:w="2160"/>
          </w:tcPr>
          <w:p>
            <w:r>
              <w:t>Derived from the ABS payroll variable, originally reported in thousands of dollars, converted to dollars by multiplying by 1,000. Payroll includes the gross earnings of all employees paid during the calendar year: salaries, wages, bonuses, commissions, paid leave, and similar forms of compensation, before deductions for taxes and other withholdings. Payments to proprietors and partners are not included.</w:t>
            </w:r>
          </w:p>
        </w:tc>
      </w:tr>
      <w:tr>
        <w:tc>
          <w:tcPr>
            <w:tcW w:type="dxa" w:w="2160"/>
          </w:tcPr>
          <w:p>
            <w:r>
              <w:t>abs_rcpt_usd_amt</w:t>
            </w:r>
          </w:p>
        </w:tc>
        <w:tc>
          <w:tcPr>
            <w:tcW w:type="dxa" w:w="2160"/>
          </w:tcPr>
          <w:p>
            <w:r>
              <w:t>NUMERIC</w:t>
            </w:r>
          </w:p>
        </w:tc>
        <w:tc>
          <w:tcPr>
            <w:tcW w:type="dxa" w:w="2160"/>
          </w:tcPr>
          <w:p>
            <w:r>
              <w:t>Estimated total annual business receipts (sales or operating revenue) for ABS employer firms in the county–sector–year, in U.S. dollars.</w:t>
            </w:r>
          </w:p>
        </w:tc>
        <w:tc>
          <w:tcPr>
            <w:tcW w:type="dxa" w:w="2160"/>
          </w:tcPr>
          <w:p>
            <w:r>
              <w:t>Computed from ABS’s receipts‑per‑employee variable (RCPPDEMP), which is reported in dollars per employee but often in thousands. In the RDM Datalab pipeline this field is reconstructed as: abs_rcpt_usd_amt = abs_rcpt_per_emp_usd_amt × abs_emp_num. It approximates total receipts for employer firms but may differ slightly from official published totals due to rounding, suppression, or the reconstruction method.</w:t>
            </w:r>
          </w:p>
        </w:tc>
      </w:tr>
      <w:tr>
        <w:tc>
          <w:tcPr>
            <w:tcW w:type="dxa" w:w="2160"/>
          </w:tcPr>
          <w:p>
            <w:r>
              <w:t>abs_rcpt_per_emp_usd_amt</w:t>
            </w:r>
          </w:p>
        </w:tc>
        <w:tc>
          <w:tcPr>
            <w:tcW w:type="dxa" w:w="2160"/>
          </w:tcPr>
          <w:p>
            <w:r>
              <w:t>NUMERIC</w:t>
            </w:r>
          </w:p>
        </w:tc>
        <w:tc>
          <w:tcPr>
            <w:tcW w:type="dxa" w:w="2160"/>
          </w:tcPr>
          <w:p>
            <w:r>
              <w:t>Average annual receipts per paid employee for ABS employer firms in the county–sector–year.</w:t>
            </w:r>
          </w:p>
        </w:tc>
        <w:tc>
          <w:tcPr>
            <w:tcW w:type="dxa" w:w="2160"/>
          </w:tcPr>
          <w:p>
            <w:r>
              <w:t>Conceptually equal to ABS RCPPDEMP after converting from “dollars per employee in thousands” to plain dollars. Defined as: abs_rcpt_per_emp_usd_amt = abs_rcpt_usd_amt ÷ abs_emp_num, when abs_emp_num &gt; 0; otherwise set to null. This metric is useful for comparing revenue productivity per worker across counties and sectors.</w:t>
            </w:r>
          </w:p>
        </w:tc>
      </w:tr>
      <w:tr>
        <w:tc>
          <w:tcPr>
            <w:tcW w:type="dxa" w:w="2160"/>
          </w:tcPr>
          <w:p>
            <w:r>
              <w:t>qcew_ann_avg_emp_lvl_num</w:t>
            </w:r>
          </w:p>
        </w:tc>
        <w:tc>
          <w:tcPr>
            <w:tcW w:type="dxa" w:w="2160"/>
          </w:tcPr>
          <w:p>
            <w:r>
              <w:t>INT64</w:t>
            </w:r>
          </w:p>
        </w:tc>
        <w:tc>
          <w:tcPr>
            <w:tcW w:type="dxa" w:w="2160"/>
          </w:tcPr>
          <w:p>
            <w:r>
              <w:t>Annual average employment level from the Quarterly Census of Employment and Wages (QCEW) for the county–sector–year.</w:t>
            </w:r>
          </w:p>
        </w:tc>
        <w:tc>
          <w:tcPr>
            <w:tcW w:type="dxa" w:w="2160"/>
          </w:tcPr>
          <w:p>
            <w:r>
              <w:t>QCEW annual average employment is calculated by summing the twelve months of employment for a calendar year and dividing by 12. Monthly employment counts reflect the number of covered workers who worked or received pay for the pay period including the 12th of each month. QCEW employment is establishment‑based (jobs at physical locations) and covers workers subject to unemployment insurance programs.</w:t>
            </w:r>
          </w:p>
        </w:tc>
      </w:tr>
      <w:tr>
        <w:tc>
          <w:tcPr>
            <w:tcW w:type="dxa" w:w="2160"/>
          </w:tcPr>
          <w:p>
            <w:r>
              <w:t>qcew_ttl_ann_wage_usd_amt</w:t>
            </w:r>
          </w:p>
        </w:tc>
        <w:tc>
          <w:tcPr>
            <w:tcW w:type="dxa" w:w="2160"/>
          </w:tcPr>
          <w:p>
            <w:r>
              <w:t>NUMERIC</w:t>
            </w:r>
          </w:p>
        </w:tc>
        <w:tc>
          <w:tcPr>
            <w:tcW w:type="dxa" w:w="2160"/>
          </w:tcPr>
          <w:p>
            <w:r>
              <w:t>Total annual wages reported to QCEW for all covered establishments in the county–sector–year, in U.S. dollars.</w:t>
            </w:r>
          </w:p>
        </w:tc>
        <w:tc>
          <w:tcPr>
            <w:tcW w:type="dxa" w:w="2160"/>
          </w:tcPr>
          <w:p>
            <w:r>
              <w:t>Includes all wages and salaries paid during the year that are subject to state and federal unemployment insurance laws, including regular pay, bonuses, stock‑related taxable income, and some fringe components. This is the numerator used for QCEW average weekly wage and average annual pay calculations.</w:t>
            </w:r>
          </w:p>
        </w:tc>
      </w:tr>
      <w:tr>
        <w:tc>
          <w:tcPr>
            <w:tcW w:type="dxa" w:w="2160"/>
          </w:tcPr>
          <w:p>
            <w:r>
              <w:t>qcew_avg_wkly_wage_usd_amt</w:t>
            </w:r>
          </w:p>
        </w:tc>
        <w:tc>
          <w:tcPr>
            <w:tcW w:type="dxa" w:w="2160"/>
          </w:tcPr>
          <w:p>
            <w:r>
              <w:t>NUMERIC</w:t>
            </w:r>
          </w:p>
        </w:tc>
        <w:tc>
          <w:tcPr>
            <w:tcW w:type="dxa" w:w="2160"/>
          </w:tcPr>
          <w:p>
            <w:r>
              <w:t>Average weekly wage from QCEW for the county–sector–year, in U.S. dollars per week.</w:t>
            </w:r>
          </w:p>
        </w:tc>
        <w:tc>
          <w:tcPr>
            <w:tcW w:type="dxa" w:w="2160"/>
          </w:tcPr>
          <w:p>
            <w:r>
              <w:t>QCEW average weekly wage is calculated as: (total annual wages ÷ annual average employment) ÷ 52. It represents the average pay per employee per week over the year. Values are calculated from unrounded wage and employment data by BLS, so hand calculations using rounded fields may differ slightly.</w:t>
            </w:r>
          </w:p>
        </w:tc>
      </w:tr>
      <w:tr>
        <w:tc>
          <w:tcPr>
            <w:tcW w:type="dxa" w:w="2160"/>
          </w:tcPr>
          <w:p>
            <w:r>
              <w:t>qcew_wage_per_emp_usd_amt</w:t>
            </w:r>
          </w:p>
        </w:tc>
        <w:tc>
          <w:tcPr>
            <w:tcW w:type="dxa" w:w="2160"/>
          </w:tcPr>
          <w:p>
            <w:r>
              <w:t>NUMERIC</w:t>
            </w:r>
          </w:p>
        </w:tc>
        <w:tc>
          <w:tcPr>
            <w:tcW w:type="dxa" w:w="2160"/>
          </w:tcPr>
          <w:p>
            <w:r>
              <w:t>Derived annual wage per employee based on QCEW total annual wages and annual average employment.</w:t>
            </w:r>
          </w:p>
        </w:tc>
        <w:tc>
          <w:tcPr>
            <w:tcW w:type="dxa" w:w="2160"/>
          </w:tcPr>
          <w:p>
            <w:r>
              <w:t>Defined in the RDM Datalab pipeline as: qcew_wage_per_emp_usd_amt = qcew_ttl_ann_wage_usd_amt ÷ qcew_ann_avg_emp_lvl_num, when qcew_ann_avg_emp_lvl_num &gt; 0; otherwise set to null. This is analogous to QCEW average annual pay and provides an annualized wage‑per‑employee benchmark that can be directly compared with ABS‑based wage metrics.</w:t>
            </w:r>
          </w:p>
        </w:tc>
      </w:tr>
      <w:tr>
        <w:tc>
          <w:tcPr>
            <w:tcW w:type="dxa" w:w="2160"/>
          </w:tcPr>
          <w:p>
            <w:r>
              <w:t>abs_wage_per_emp_usd_amt</w:t>
            </w:r>
          </w:p>
        </w:tc>
        <w:tc>
          <w:tcPr>
            <w:tcW w:type="dxa" w:w="2160"/>
          </w:tcPr>
          <w:p>
            <w:r>
              <w:t>NUMERIC</w:t>
            </w:r>
          </w:p>
        </w:tc>
        <w:tc>
          <w:tcPr>
            <w:tcW w:type="dxa" w:w="2160"/>
          </w:tcPr>
          <w:p>
            <w:r>
              <w:t>Derived annual payroll per employee based on ABS payroll and employment.</w:t>
            </w:r>
          </w:p>
        </w:tc>
        <w:tc>
          <w:tcPr>
            <w:tcW w:type="dxa" w:w="2160"/>
          </w:tcPr>
          <w:p>
            <w:r>
              <w:t>Defined as: abs_wage_per_emp_usd_amt = abs_payroll_usd_amt ÷ abs_emp_num, when abs_emp_num &gt; 0; otherwise null. This provides a firm‑based payroll‑per‑employee metric that can be compared with the establishment‑based QCEW wage‑per‑employee metric, recognizing differences in survey design and coverage.</w:t>
            </w:r>
          </w:p>
        </w:tc>
      </w:tr>
      <w:tr>
        <w:tc>
          <w:tcPr>
            <w:tcW w:type="dxa" w:w="2160"/>
          </w:tcPr>
          <w:p>
            <w:r>
              <w:t>abs_rcpt_per_firm_usd_amt</w:t>
            </w:r>
          </w:p>
        </w:tc>
        <w:tc>
          <w:tcPr>
            <w:tcW w:type="dxa" w:w="2160"/>
          </w:tcPr>
          <w:p>
            <w:r>
              <w:t>NUMERIC</w:t>
            </w:r>
          </w:p>
        </w:tc>
        <w:tc>
          <w:tcPr>
            <w:tcW w:type="dxa" w:w="2160"/>
          </w:tcPr>
          <w:p>
            <w:r>
              <w:t>Derived average annual receipts per employer firm from ABS.</w:t>
            </w:r>
          </w:p>
        </w:tc>
        <w:tc>
          <w:tcPr>
            <w:tcW w:type="dxa" w:w="2160"/>
          </w:tcPr>
          <w:p>
            <w:r>
              <w:t>Defined as: abs_rcpt_per_firm_usd_amt = abs_rcpt_usd_amt ÷ abs_firm_num, when abs_firm_num &gt; 0; otherwise null. This metric is useful for benchmarking the average revenue scale of employer firms across counties and sectors. Because it is based on reconstructed receipts from ABS, users should interpret very small or suppressed cells with caution.</w:t>
            </w:r>
          </w:p>
        </w:tc>
      </w:tr>
    </w:tbl>
    <w:p>
      <w:pPr>
        <w:pStyle w:val="Heading2"/>
      </w:pPr>
      <w:r>
        <w:t>Table: ref_state_cnty_uscb (County Geography Reference)</w:t>
      </w:r>
    </w:p>
    <w:tbl>
      <w:tblPr>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Type</w:t>
            </w:r>
          </w:p>
        </w:tc>
        <w:tc>
          <w:tcPr>
            <w:tcW w:type="dxa" w:w="2160"/>
          </w:tcPr>
          <w:p>
            <w:r>
              <w:t>Definition / Calculation</w:t>
            </w:r>
          </w:p>
        </w:tc>
        <w:tc>
          <w:tcPr>
            <w:tcW w:type="dxa" w:w="2160"/>
          </w:tcPr>
          <w:p>
            <w:r>
              <w:t>Additional notes (source, caveats)</w:t>
            </w:r>
          </w:p>
        </w:tc>
      </w:tr>
      <w:tr>
        <w:tc>
          <w:tcPr>
            <w:tcW w:type="dxa" w:w="2160"/>
          </w:tcPr>
          <w:p>
            <w:r>
              <w:t>state_cnty_fips_cd</w:t>
            </w:r>
          </w:p>
        </w:tc>
        <w:tc>
          <w:tcPr>
            <w:tcW w:type="dxa" w:w="2160"/>
          </w:tcPr>
          <w:p>
            <w:r>
              <w:t>STRING</w:t>
            </w:r>
          </w:p>
        </w:tc>
        <w:tc>
          <w:tcPr>
            <w:tcW w:type="dxa" w:w="2160"/>
          </w:tcPr>
          <w:p>
            <w:r>
              <w:t>Five‑digit FIPS code uniquely identifying a U.S. county or county‑equivalent.</w:t>
            </w:r>
          </w:p>
        </w:tc>
        <w:tc>
          <w:tcPr>
            <w:tcW w:type="dxa" w:w="2160"/>
          </w:tcPr>
          <w:p>
            <w:r>
              <w:t>The first two digits are the state FIPS code; the last three digits identify the county within the state. For example, 06087 = Santa Cruz County, CA. This field is the primary key used to join geographic attributes to the benchmark table.</w:t>
            </w:r>
          </w:p>
        </w:tc>
      </w:tr>
      <w:tr>
        <w:tc>
          <w:tcPr>
            <w:tcW w:type="dxa" w:w="2160"/>
          </w:tcPr>
          <w:p>
            <w:r>
              <w:t>state_cd</w:t>
            </w:r>
          </w:p>
        </w:tc>
        <w:tc>
          <w:tcPr>
            <w:tcW w:type="dxa" w:w="2160"/>
          </w:tcPr>
          <w:p>
            <w:r>
              <w:t>STRING</w:t>
            </w:r>
          </w:p>
        </w:tc>
        <w:tc>
          <w:tcPr>
            <w:tcW w:type="dxa" w:w="2160"/>
          </w:tcPr>
          <w:p>
            <w:r>
              <w:t>Two‑letter U.S. Postal Service (USPS) state abbreviation.</w:t>
            </w:r>
          </w:p>
        </w:tc>
        <w:tc>
          <w:tcPr>
            <w:tcW w:type="dxa" w:w="2160"/>
          </w:tcPr>
          <w:p>
            <w:r>
              <w:t>Examples: CA, NY, IL. This is included for human‑readable labeling and can be derived from the state portion of the FIPS code if needed.</w:t>
            </w:r>
          </w:p>
        </w:tc>
      </w:tr>
      <w:tr>
        <w:tc>
          <w:tcPr>
            <w:tcW w:type="dxa" w:w="2160"/>
          </w:tcPr>
          <w:p>
            <w:r>
              <w:t>cnty_ansi_nm</w:t>
            </w:r>
          </w:p>
        </w:tc>
        <w:tc>
          <w:tcPr>
            <w:tcW w:type="dxa" w:w="2160"/>
          </w:tcPr>
          <w:p>
            <w:r>
              <w:t>STRING</w:t>
            </w:r>
          </w:p>
        </w:tc>
        <w:tc>
          <w:tcPr>
            <w:tcW w:type="dxa" w:w="2160"/>
          </w:tcPr>
          <w:p>
            <w:r>
              <w:t>ANSI county identifier (alphanumeric code maintained by the Census Bureau).</w:t>
            </w:r>
          </w:p>
        </w:tc>
        <w:tc>
          <w:tcPr>
            <w:tcW w:type="dxa" w:w="2160"/>
          </w:tcPr>
          <w:p>
            <w:r>
              <w:t>Represents the successor to some legacy FIPS place codes. Included for interoperability with other Census geography products and for cross‑referencing with external systems that use ANSI identifiers.</w:t>
            </w:r>
          </w:p>
        </w:tc>
      </w:tr>
      <w:tr>
        <w:tc>
          <w:tcPr>
            <w:tcW w:type="dxa" w:w="2160"/>
          </w:tcPr>
          <w:p>
            <w:r>
              <w:t>cnty_nm</w:t>
            </w:r>
          </w:p>
        </w:tc>
        <w:tc>
          <w:tcPr>
            <w:tcW w:type="dxa" w:w="2160"/>
          </w:tcPr>
          <w:p>
            <w:r>
              <w:t>STRING</w:t>
            </w:r>
          </w:p>
        </w:tc>
        <w:tc>
          <w:tcPr>
            <w:tcW w:type="dxa" w:w="2160"/>
          </w:tcPr>
          <w:p>
            <w:r>
              <w:t>Official county or county‑equivalent name from the Census Bureau.</w:t>
            </w:r>
          </w:p>
        </w:tc>
        <w:tc>
          <w:tcPr>
            <w:tcW w:type="dxa" w:w="2160"/>
          </w:tcPr>
          <w:p>
            <w:r>
              <w:t>Examples: “Santa Cruz County”, “Cook County”, “Anchorage Municipality”. Values correspond to the legal county names for the reference geography vintage used in this product.</w:t>
            </w:r>
          </w:p>
        </w:tc>
      </w:tr>
      <w:tr>
        <w:tc>
          <w:tcPr>
            <w:tcW w:type="dxa" w:w="2160"/>
          </w:tcPr>
          <w:p>
            <w:r>
              <w:t>land_area_num</w:t>
            </w:r>
          </w:p>
        </w:tc>
        <w:tc>
          <w:tcPr>
            <w:tcW w:type="dxa" w:w="2160"/>
          </w:tcPr>
          <w:p>
            <w:r>
              <w:t>INT64</w:t>
            </w:r>
          </w:p>
        </w:tc>
        <w:tc>
          <w:tcPr>
            <w:tcW w:type="dxa" w:w="2160"/>
          </w:tcPr>
          <w:p>
            <w:r>
              <w:t>Land area of the county in square meters.</w:t>
            </w:r>
          </w:p>
        </w:tc>
        <w:tc>
          <w:tcPr>
            <w:tcW w:type="dxa" w:w="2160"/>
          </w:tcPr>
          <w:p>
            <w:r>
              <w:t>Sourced from Census geography reference files. Land area excludes major bodies of water within the county boundary. Users can convert to square kilometers or square miles as needed (e.g., square_miles = land_area_num ÷ 2,589,988.11).</w:t>
            </w:r>
          </w:p>
        </w:tc>
      </w:tr>
      <w:tr>
        <w:tc>
          <w:tcPr>
            <w:tcW w:type="dxa" w:w="2160"/>
          </w:tcPr>
          <w:p>
            <w:r>
              <w:t>water_area_num</w:t>
            </w:r>
          </w:p>
        </w:tc>
        <w:tc>
          <w:tcPr>
            <w:tcW w:type="dxa" w:w="2160"/>
          </w:tcPr>
          <w:p>
            <w:r>
              <w:t>INT64</w:t>
            </w:r>
          </w:p>
        </w:tc>
        <w:tc>
          <w:tcPr>
            <w:tcW w:type="dxa" w:w="2160"/>
          </w:tcPr>
          <w:p>
            <w:r>
              <w:t>Water area of the county in square meters.</w:t>
            </w:r>
          </w:p>
        </w:tc>
        <w:tc>
          <w:tcPr>
            <w:tcW w:type="dxa" w:w="2160"/>
          </w:tcPr>
          <w:p>
            <w:r>
              <w:t>Represents the area covered by major water features within the county boundary as defined by Census geography files. Water area plus land area approximates the total area of the county. Units are square meters.</w:t>
            </w:r>
          </w:p>
        </w:tc>
      </w:tr>
      <w:tr>
        <w:tc>
          <w:tcPr>
            <w:tcW w:type="dxa" w:w="2160"/>
          </w:tcPr>
          <w:p>
            <w:r>
              <w:t>lat_num</w:t>
            </w:r>
          </w:p>
        </w:tc>
        <w:tc>
          <w:tcPr>
            <w:tcW w:type="dxa" w:w="2160"/>
          </w:tcPr>
          <w:p>
            <w:r>
              <w:t>FLOAT64</w:t>
            </w:r>
          </w:p>
        </w:tc>
        <w:tc>
          <w:tcPr>
            <w:tcW w:type="dxa" w:w="2160"/>
          </w:tcPr>
          <w:p>
            <w:r>
              <w:t>Latitude coordinate of an internal point within the county.</w:t>
            </w:r>
          </w:p>
        </w:tc>
        <w:tc>
          <w:tcPr>
            <w:tcW w:type="dxa" w:w="2160"/>
          </w:tcPr>
          <w:p>
            <w:r>
              <w:t>This is typically a representative internal point or centroid used for mapping and visualization, not a legal boundary vertex. Expressed in decimal degrees using the standard geographic coordinate system.</w:t>
            </w:r>
          </w:p>
        </w:tc>
      </w:tr>
      <w:tr>
        <w:tc>
          <w:tcPr>
            <w:tcW w:type="dxa" w:w="2160"/>
          </w:tcPr>
          <w:p>
            <w:r>
              <w:t>long_num</w:t>
            </w:r>
          </w:p>
        </w:tc>
        <w:tc>
          <w:tcPr>
            <w:tcW w:type="dxa" w:w="2160"/>
          </w:tcPr>
          <w:p>
            <w:r>
              <w:t>FLOAT64</w:t>
            </w:r>
          </w:p>
        </w:tc>
        <w:tc>
          <w:tcPr>
            <w:tcW w:type="dxa" w:w="2160"/>
          </w:tcPr>
          <w:p>
            <w:r>
              <w:t>Longitude coordinate of an internal point within the county.</w:t>
            </w:r>
          </w:p>
        </w:tc>
        <w:tc>
          <w:tcPr>
            <w:tcW w:type="dxa" w:w="2160"/>
          </w:tcPr>
          <w:p>
            <w:r>
              <w:t>Companion to lat_num, expressed in decimal degrees (negative values for western hemisphere). Suitable for plotting county locations on maps and as a reference point for proximity analysis.</w:t>
            </w:r>
          </w:p>
        </w:tc>
      </w:tr>
    </w:tbl>
    <w:p>
      <w:pPr>
        <w:pStyle w:val="Heading2"/>
      </w:pPr>
      <w:r>
        <w:t>Table: ref_naics2_uscb (NAICS 2‑Digit Sector Reference)</w:t>
      </w:r>
    </w:p>
    <w:tbl>
      <w:tblPr>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Type</w:t>
            </w:r>
          </w:p>
        </w:tc>
        <w:tc>
          <w:tcPr>
            <w:tcW w:type="dxa" w:w="2160"/>
          </w:tcPr>
          <w:p>
            <w:r>
              <w:t>Definition / Calculation</w:t>
            </w:r>
          </w:p>
        </w:tc>
        <w:tc>
          <w:tcPr>
            <w:tcW w:type="dxa" w:w="2160"/>
          </w:tcPr>
          <w:p>
            <w:r>
              <w:t>Additional notes (source, caveats)</w:t>
            </w:r>
          </w:p>
        </w:tc>
      </w:tr>
      <w:tr>
        <w:tc>
          <w:tcPr>
            <w:tcW w:type="dxa" w:w="2160"/>
          </w:tcPr>
          <w:p>
            <w:r>
              <w:t>naics2_sector_cd</w:t>
            </w:r>
          </w:p>
        </w:tc>
        <w:tc>
          <w:tcPr>
            <w:tcW w:type="dxa" w:w="2160"/>
          </w:tcPr>
          <w:p>
            <w:r>
              <w:t>STRING</w:t>
            </w:r>
          </w:p>
        </w:tc>
        <w:tc>
          <w:tcPr>
            <w:tcW w:type="dxa" w:w="2160"/>
          </w:tcPr>
          <w:p>
            <w:r>
              <w:t>Two‑digit NAICS sector code.</w:t>
            </w:r>
          </w:p>
        </w:tc>
        <w:tc>
          <w:tcPr>
            <w:tcW w:type="dxa" w:w="2160"/>
          </w:tcPr>
          <w:p>
            <w:r>
              <w:t>Represents the broadest NAICS industry level (“sector”). There are 20 sectors in NAICS (e.g., 11 Agriculture, 21 Mining, 31–33 Manufacturing, 52 Finance and Insurance). This field is the primary key for joining sector descriptions into fact tables.</w:t>
            </w:r>
          </w:p>
        </w:tc>
      </w:tr>
      <w:tr>
        <w:tc>
          <w:tcPr>
            <w:tcW w:type="dxa" w:w="2160"/>
          </w:tcPr>
          <w:p>
            <w:r>
              <w:t>naics2_sector_desc</w:t>
            </w:r>
          </w:p>
        </w:tc>
        <w:tc>
          <w:tcPr>
            <w:tcW w:type="dxa" w:w="2160"/>
          </w:tcPr>
          <w:p>
            <w:r>
              <w:t>STRING</w:t>
            </w:r>
          </w:p>
        </w:tc>
        <w:tc>
          <w:tcPr>
            <w:tcW w:type="dxa" w:w="2160"/>
          </w:tcPr>
          <w:p>
            <w:r>
              <w:t>NAICS sector description corresponding to the two‑digit sector code.</w:t>
            </w:r>
          </w:p>
        </w:tc>
        <w:tc>
          <w:tcPr>
            <w:tcW w:type="dxa" w:w="2160"/>
          </w:tcPr>
          <w:p>
            <w:r>
              <w:t>Derived from Census NAICS reference materials (e.g., “Manufacturing”, “Wholesale Trade”, “Professional, Scientific, and Technical Services”). Sector descriptions are stable across years within a given NAICS vintage.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