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Mykola Golovko</w:t>
      </w:r>
    </w:p>
    <w:p>
      <w:pPr>
        <w:spacing w:after="60"/>
      </w:pPr>
      <w:r>
        <w:rPr>
          <w:rFonts w:ascii="Arial" w:cs="Arial" w:eastAsia="Arial" w:hAnsi="Arial"/>
          <w:color w:val="555555"/>
          <w:sz w:val="20"/>
          <w:szCs w:val="20"/>
        </w:rPr>
        <w:t xml:space="preserve">630-965-9270 | mykola.golovko@gmail.com | linkedin.com/in/mykola-golovko-69706317 | Miami, FL</w:t>
      </w:r>
    </w:p>
    <w:p>
      <w:pPr>
        <w:pBdr>
          <w:bottom w:val="single" w:color="999999" w:sz="4" w:space="2"/>
        </w:pBdr>
        <w:spacing w:after="80" w:before="260"/>
      </w:pPr>
      <w:r>
        <w:rPr>
          <w:rFonts w:ascii="Arial" w:cs="Arial" w:eastAsia="Arial" w:hAnsi="Arial"/>
          <w:b/>
          <w:bCs/>
          <w:color w:val="000000"/>
          <w:sz w:val="23"/>
          <w:szCs w:val="23"/>
        </w:rPr>
        <w:t xml:space="preserve">SUMMARY</w:t>
      </w:r>
    </w:p>
    <w:p>
      <w:pPr>
        <w:spacing w:after="40" w:before="40"/>
      </w:pPr>
      <w:r>
        <w:rPr>
          <w:rFonts w:ascii="Arial" w:cs="Arial" w:eastAsia="Arial" w:hAnsi="Arial"/>
          <w:b w:val="false"/>
          <w:bCs w:val="false"/>
          <w:color w:val="222222"/>
          <w:sz w:val="21"/>
          <w:szCs w:val="21"/>
        </w:rPr>
        <w:t xml:space="preserve">Product Manager with 17+ years of experience transforming how a global research organization coordinates work across 180 markets and 16 offices. Architected and deployed AI agents, data pipelines, and structured knowledge systems that automate the information-routing layer of program management—replacing manual coordination bottlenecks with intelligent systems that surface the right data to the right people at the right time. Designed context engineering frameworks and led organizational adoption of mixed human-AI workflows, enabling 100–150 contributors per project cycle to operate with fewer coordination layers and faster decision cycles.</w:t>
      </w:r>
    </w:p>
    <w:p>
      <w:pPr>
        <w:pBdr>
          <w:bottom w:val="single" w:color="999999" w:sz="4" w:space="2"/>
        </w:pBdr>
        <w:spacing w:after="80" w:before="260"/>
      </w:pPr>
      <w:r>
        <w:rPr>
          <w:rFonts w:ascii="Arial" w:cs="Arial" w:eastAsia="Arial" w:hAnsi="Arial"/>
          <w:b/>
          <w:bCs/>
          <w:color w:val="000000"/>
          <w:sz w:val="23"/>
          <w:szCs w:val="23"/>
        </w:rPr>
        <w:t xml:space="preserve">SKILLS</w:t>
      </w:r>
    </w:p>
    <w:p>
      <w:pPr>
        <w:spacing w:after="30" w:before="30"/>
      </w:pPr>
      <w:r>
        <w:rPr>
          <w:rFonts w:ascii="Arial" w:cs="Arial" w:eastAsia="Arial" w:hAnsi="Arial"/>
          <w:b/>
          <w:bCs/>
          <w:color w:val="222222"/>
          <w:sz w:val="21"/>
          <w:szCs w:val="21"/>
        </w:rPr>
        <w:t xml:space="preserve">Product &amp; Program Management: </w:t>
      </w:r>
      <w:r>
        <w:rPr>
          <w:rFonts w:ascii="Arial" w:cs="Arial" w:eastAsia="Arial" w:hAnsi="Arial"/>
          <w:color w:val="222222"/>
          <w:sz w:val="21"/>
          <w:szCs w:val="21"/>
        </w:rPr>
        <w:t xml:space="preserve">Product Strategy, Roadmapping, Cross-Functional Leadership, Stakeholder Management, Global Program Delivery, OKRs, KPIs, Agile, Specification Development, Vendor Evaluation</w:t>
      </w:r>
    </w:p>
    <w:p>
      <w:pPr>
        <w:spacing w:after="30" w:before="30"/>
      </w:pPr>
      <w:r>
        <w:rPr>
          <w:rFonts w:ascii="Arial" w:cs="Arial" w:eastAsia="Arial" w:hAnsi="Arial"/>
          <w:b/>
          <w:bCs/>
          <w:color w:val="222222"/>
          <w:sz w:val="21"/>
          <w:szCs w:val="21"/>
        </w:rPr>
        <w:t xml:space="preserve">AI &amp; Organizational Intelligence: </w:t>
      </w:r>
      <w:r>
        <w:rPr>
          <w:rFonts w:ascii="Arial" w:cs="Arial" w:eastAsia="Arial" w:hAnsi="Arial"/>
          <w:color w:val="222222"/>
          <w:sz w:val="21"/>
          <w:szCs w:val="21"/>
        </w:rPr>
        <w:t xml:space="preserve">Context Engineering, AI Agent Design, Mixed Human-AI Workflow Design, LLM Integration (Claude, Gemini, OpenAI, Perplexity), Prompt Engineering, AI Adoption Strategy, Change Management</w:t>
      </w:r>
    </w:p>
    <w:p>
      <w:pPr>
        <w:spacing w:after="30" w:before="30"/>
      </w:pPr>
      <w:r>
        <w:rPr>
          <w:rFonts w:ascii="Arial" w:cs="Arial" w:eastAsia="Arial" w:hAnsi="Arial"/>
          <w:b/>
          <w:bCs/>
          <w:color w:val="222222"/>
          <w:sz w:val="21"/>
          <w:szCs w:val="21"/>
        </w:rPr>
        <w:t xml:space="preserve">Technical: </w:t>
      </w:r>
      <w:r>
        <w:rPr>
          <w:rFonts w:ascii="Arial" w:cs="Arial" w:eastAsia="Arial" w:hAnsi="Arial"/>
          <w:color w:val="222222"/>
          <w:sz w:val="21"/>
          <w:szCs w:val="21"/>
        </w:rPr>
        <w:t xml:space="preserve">Python, Data Pipeline Architecture, REST API Integration, Browser Automation</w:t>
      </w:r>
    </w:p>
    <w:p>
      <w:pPr>
        <w:spacing w:after="30" w:before="30"/>
      </w:pPr>
      <w:r>
        <w:rPr>
          <w:rFonts w:ascii="Arial" w:cs="Arial" w:eastAsia="Arial" w:hAnsi="Arial"/>
          <w:b/>
          <w:bCs/>
          <w:color w:val="222222"/>
          <w:sz w:val="21"/>
          <w:szCs w:val="21"/>
        </w:rPr>
        <w:t xml:space="preserve">Data &amp; Research: </w:t>
      </w:r>
      <w:r>
        <w:rPr>
          <w:rFonts w:ascii="Arial" w:cs="Arial" w:eastAsia="Arial" w:hAnsi="Arial"/>
          <w:color w:val="222222"/>
          <w:sz w:val="21"/>
          <w:szCs w:val="21"/>
        </w:rPr>
        <w:t xml:space="preserve">Market Research Methodology, Forecast Modeling, Data Quality Assurance, Statistical Analysis, Large-Scale Data Operations</w:t>
      </w:r>
    </w:p>
    <w:p>
      <w:pPr>
        <w:pBdr>
          <w:bottom w:val="single" w:color="999999" w:sz="4" w:space="2"/>
        </w:pBdr>
        <w:spacing w:after="80" w:before="260"/>
      </w:pPr>
      <w:r>
        <w:rPr>
          <w:rFonts w:ascii="Arial" w:cs="Arial" w:eastAsia="Arial" w:hAnsi="Arial"/>
          <w:b/>
          <w:bCs/>
          <w:color w:val="000000"/>
          <w:sz w:val="23"/>
          <w:szCs w:val="23"/>
        </w:rPr>
        <w:t xml:space="preserve">EXPERIENCE</w:t>
      </w:r>
    </w:p>
    <w:p>
      <w:pPr>
        <w:tabs>
          <w:tab w:val="right" w:pos="9026"/>
        </w:tabs>
        <w:spacing w:after="20" w:before="160"/>
      </w:pPr>
      <w:r>
        <w:rPr>
          <w:rFonts w:ascii="Arial" w:cs="Arial" w:eastAsia="Arial" w:hAnsi="Arial"/>
          <w:b/>
          <w:bCs/>
          <w:color w:val="000000"/>
          <w:sz w:val="22"/>
          <w:szCs w:val="22"/>
        </w:rPr>
        <w:t xml:space="preserve">Project Manager</w:t>
      </w:r>
      <w:r>
        <w:rPr>
          <w:rFonts w:ascii="Arial" w:cs="Arial" w:eastAsia="Arial" w:hAnsi="Arial"/>
          <w:color w:val="555555"/>
          <w:sz w:val="22"/>
          <w:szCs w:val="22"/>
        </w:rPr>
        <w:t xml:space="preserve"> | Euromonitor International</w:t>
      </w:r>
      <w:r>
        <w:rPr>
          <w:rFonts w:ascii="Arial" w:cs="Arial" w:eastAsia="Arial" w:hAnsi="Arial"/>
          <w:color w:val="555555"/>
          <w:sz w:val="21"/>
          <w:szCs w:val="21"/>
        </w:rPr>
        <w:t xml:space="preserve">	2015 – Present</w:t>
      </w:r>
    </w:p>
    <w:p>
      <w:pPr>
        <w:spacing w:after="40" w:before="40"/>
      </w:pPr>
      <w:r>
        <w:rPr>
          <w:rFonts w:ascii="Arial" w:cs="Arial" w:eastAsia="Arial" w:hAnsi="Arial"/>
          <w:b w:val="false"/>
          <w:bCs w:val="false"/>
          <w:color w:val="222222"/>
          <w:sz w:val="21"/>
          <w:szCs w:val="21"/>
        </w:rPr>
        <w:t xml:space="preserve">Own end-to-end delivery of 3 global syndicated research programs (Travel &amp; Tourism, Consumer Foodservice, Payments &amp; Lending) covering 180 markets. Lead cross-functional coordination across research, leadership, technology, and commercial teams spanning 16 offices.</w:t>
      </w:r>
    </w:p>
    <w:p>
      <w:pPr>
        <w:spacing w:after="40" w:before="40"/>
      </w:pPr>
      <w:r>
        <w:rPr>
          <w:rFonts w:ascii="Arial" w:cs="Arial" w:eastAsia="Arial" w:hAnsi="Arial"/>
          <w:b/>
          <w:bCs/>
          <w:color w:val="222222"/>
          <w:sz w:val="21"/>
          <w:szCs w:val="21"/>
        </w:rPr>
        <w:t xml:space="preserve">AI Strategy &amp; Organizational Intelligence:</w:t>
      </w:r>
    </w:p>
    <w:p>
      <w:pPr>
        <w:pStyle w:val="ListParagraph"/>
        <w:numPr>
          <w:ilvl w:val="0"/>
          <w:numId w:val="2"/>
        </w:numPr>
        <w:spacing w:after="30" w:before="30"/>
      </w:pPr>
      <w:r>
        <w:rPr>
          <w:rFonts w:ascii="Arial" w:cs="Arial" w:eastAsia="Arial" w:hAnsi="Arial"/>
          <w:color w:val="222222"/>
          <w:sz w:val="21"/>
          <w:szCs w:val="21"/>
        </w:rPr>
        <w:t xml:space="preserve">Architected and deployed a production multi-agent research swarm on Claude Code—a coordinator dispatching specialized sub-agents across the full market-research lifecycle: source identification, top-down and bottom-up estimation, cross-source reconciliation, data-quality validation, and client-ready deliverables. Built to retarget across industries by swapping specification inputs, now running end-to-end on live market builds.</w:t>
      </w:r>
    </w:p>
    <w:p>
      <w:pPr>
        <w:pStyle w:val="ListParagraph"/>
        <w:numPr>
          <w:ilvl w:val="0"/>
          <w:numId w:val="2"/>
        </w:numPr>
        <w:spacing w:after="30" w:before="30"/>
      </w:pPr>
      <w:r>
        <w:rPr>
          <w:rFonts w:ascii="Arial" w:cs="Arial" w:eastAsia="Arial" w:hAnsi="Arial"/>
          <w:color w:val="222222"/>
          <w:sz w:val="21"/>
          <w:szCs w:val="21"/>
        </w:rPr>
        <w:t xml:space="preserve">Led the transition from hierarchy-dependent information routing to AI-augmented coordination across a global research organization. Designed and deployed AI agents that automate the core management function—getting the right information to the right person at the right time—reducing manual coordination overhead and enabling flatter, faster decision-making across project teams.</w:t>
      </w:r>
    </w:p>
    <w:p>
      <w:pPr>
        <w:pStyle w:val="ListParagraph"/>
        <w:numPr>
          <w:ilvl w:val="0"/>
          <w:numId w:val="2"/>
        </w:numPr>
        <w:spacing w:after="30" w:before="30"/>
      </w:pPr>
      <w:r>
        <w:rPr>
          <w:rFonts w:ascii="Arial" w:cs="Arial" w:eastAsia="Arial" w:hAnsi="Arial"/>
          <w:color w:val="222222"/>
          <w:sz w:val="21"/>
          <w:szCs w:val="21"/>
        </w:rPr>
        <w:t xml:space="preserve">Developed and presented an organizational framework for context engineering—the practice of converting human-oriented knowledge bases into machine-readable, machine-actionable formats. Led an ongoing initiative to optimize all project materials for LLM consumption, preparing the organization for workflows where contributors are AI agents or humans accessing information through AI interfaces.</w:t>
      </w:r>
    </w:p>
    <w:p>
      <w:pPr>
        <w:pStyle w:val="ListParagraph"/>
        <w:numPr>
          <w:ilvl w:val="0"/>
          <w:numId w:val="2"/>
        </w:numPr>
        <w:spacing w:after="30" w:before="30"/>
      </w:pPr>
      <w:r>
        <w:rPr>
          <w:rFonts w:ascii="Arial" w:cs="Arial" w:eastAsia="Arial" w:hAnsi="Arial"/>
          <w:color w:val="222222"/>
          <w:sz w:val="21"/>
          <w:szCs w:val="21"/>
        </w:rPr>
        <w:t xml:space="preserve">Established practical principles for mixed human-AI teams: use deterministic tools for calculations and data operations, reserve LLMs for unstructured reasoning, keep humans at the edge for judgment, cultural context, and trust. Designed every AI tool with full auditability—visible reasoning, inspectable artifacts, and human override at every stage.</w:t>
      </w:r>
    </w:p>
    <w:p>
      <w:pPr>
        <w:pStyle w:val="ListParagraph"/>
        <w:numPr>
          <w:ilvl w:val="0"/>
          <w:numId w:val="2"/>
        </w:numPr>
        <w:spacing w:after="30" w:before="30"/>
      </w:pPr>
      <w:r>
        <w:rPr>
          <w:rFonts w:ascii="Arial" w:cs="Arial" w:eastAsia="Arial" w:hAnsi="Arial"/>
          <w:color w:val="222222"/>
          <w:sz w:val="21"/>
          <w:szCs w:val="21"/>
        </w:rPr>
        <w:t xml:space="preserve">Singlehandedly developed AI-assisted research methodology from concept to production, including rolling updates to keep pace with evolving model capabilities. AI-researched data is now integrated across all programs under management. Created end-to-end workflows for AI output verification, analyst review, and systematic evaluation to improve future outcomes.</w:t>
      </w:r>
    </w:p>
    <w:p>
      <w:pPr>
        <w:pStyle w:val="ListParagraph"/>
        <w:numPr>
          <w:ilvl w:val="0"/>
          <w:numId w:val="2"/>
        </w:numPr>
        <w:spacing w:after="30" w:before="30"/>
      </w:pPr>
      <w:r>
        <w:rPr>
          <w:rFonts w:ascii="Arial" w:cs="Arial" w:eastAsia="Arial" w:hAnsi="Arial"/>
          <w:color w:val="222222"/>
          <w:sz w:val="21"/>
          <w:szCs w:val="21"/>
        </w:rPr>
        <w:t xml:space="preserve">Built a multi-source AI research pipeline that triangulates data across web scraping, brand directories, booking platforms, industry news, and corporate filings. The pipeline produces verified estimates with sourcing narratives for every data point, transforming a manual per-country research process into a systematic first pass that surfaces discrepancies for analyst review. Currently scaling across all program verticals.</w:t>
      </w:r>
    </w:p>
    <w:p>
      <w:pPr>
        <w:pStyle w:val="ListParagraph"/>
        <w:numPr>
          <w:ilvl w:val="0"/>
          <w:numId w:val="2"/>
        </w:numPr>
        <w:spacing w:after="30" w:before="30"/>
      </w:pPr>
      <w:r>
        <w:rPr>
          <w:rFonts w:ascii="Arial" w:cs="Arial" w:eastAsia="Arial" w:hAnsi="Arial"/>
          <w:color w:val="222222"/>
          <w:sz w:val="21"/>
          <w:szCs w:val="21"/>
        </w:rPr>
        <w:t xml:space="preserve">Created a conversational data quality agent that enables non-technical analysts to run complex validation checks in plain English. Every output is independently verifiable: row-level Excel reports, reusable Python functions, and explicit conflict/review classifications.</w:t>
      </w:r>
    </w:p>
    <w:p>
      <w:pPr>
        <w:pStyle w:val="ListParagraph"/>
        <w:numPr>
          <w:ilvl w:val="0"/>
          <w:numId w:val="2"/>
        </w:numPr>
        <w:spacing w:after="30" w:before="30"/>
      </w:pPr>
      <w:r>
        <w:rPr>
          <w:rFonts w:ascii="Arial" w:cs="Arial" w:eastAsia="Arial" w:hAnsi="Arial"/>
          <w:color w:val="222222"/>
          <w:sz w:val="21"/>
          <w:szCs w:val="21"/>
        </w:rPr>
        <w:t xml:space="preserve">Built multi-model AI data collection tooling (Claude, Gemini, OpenAI, Perplexity) with custom desktop interfaces, automating structured data gathering across dozens of markets per research cycle and reducing manual collection time by an estimated 70%+.</w:t>
      </w:r>
    </w:p>
    <w:p>
      <w:pPr>
        <w:spacing w:after="40" w:before="40"/>
      </w:pPr>
      <w:r>
        <w:rPr>
          <w:rFonts w:ascii="Arial" w:cs="Arial" w:eastAsia="Arial" w:hAnsi="Arial"/>
          <w:b/>
          <w:bCs/>
          <w:color w:val="222222"/>
          <w:sz w:val="21"/>
          <w:szCs w:val="21"/>
        </w:rPr>
        <w:t xml:space="preserve">Program Management &amp; Research Modernization:</w:t>
      </w:r>
    </w:p>
    <w:p>
      <w:pPr>
        <w:pStyle w:val="ListParagraph"/>
        <w:numPr>
          <w:ilvl w:val="0"/>
          <w:numId w:val="2"/>
        </w:numPr>
        <w:spacing w:after="30" w:before="30"/>
      </w:pPr>
      <w:r>
        <w:rPr>
          <w:rFonts w:ascii="Arial" w:cs="Arial" w:eastAsia="Arial" w:hAnsi="Arial"/>
          <w:color w:val="222222"/>
          <w:sz w:val="21"/>
          <w:szCs w:val="21"/>
        </w:rPr>
        <w:t xml:space="preserve">Led multi-year research modernization across all industries under management, balancing research capabilities with commercial needs while integrating AI-augmented workflows. Groundwork laid in prior editions enabled smooth adoption of modernization initiatives across project teams.</w:t>
      </w:r>
    </w:p>
    <w:p>
      <w:pPr>
        <w:pStyle w:val="ListParagraph"/>
        <w:numPr>
          <w:ilvl w:val="0"/>
          <w:numId w:val="2"/>
        </w:numPr>
        <w:spacing w:after="30" w:before="30"/>
      </w:pPr>
      <w:r>
        <w:rPr>
          <w:rFonts w:ascii="Arial" w:cs="Arial" w:eastAsia="Arial" w:hAnsi="Arial"/>
          <w:color w:val="222222"/>
          <w:sz w:val="21"/>
          <w:szCs w:val="21"/>
        </w:rPr>
        <w:t xml:space="preserve">Manage full project lifecycle across 3 concurrent programs: specification development, workflow design with increasingly integrated AI contributors, research rollout, data modeling, QA and testing, publication, and post-project analysis.</w:t>
      </w:r>
    </w:p>
    <w:p>
      <w:pPr>
        <w:pStyle w:val="ListParagraph"/>
        <w:numPr>
          <w:ilvl w:val="0"/>
          <w:numId w:val="2"/>
        </w:numPr>
        <w:spacing w:after="30" w:before="30"/>
      </w:pPr>
      <w:r>
        <w:rPr>
          <w:rFonts w:ascii="Arial" w:cs="Arial" w:eastAsia="Arial" w:hAnsi="Arial"/>
          <w:color w:val="222222"/>
          <w:sz w:val="21"/>
          <w:szCs w:val="21"/>
        </w:rPr>
        <w:t xml:space="preserve">Coordinate 100–150 contributors per project cycle—researchers, regional managers, business analysts, developers, and leadership—across 16 global offices. Communicate AI research methodologies and outcomes to stakeholders across technical, commercial, and leadership functions.</w:t>
      </w:r>
    </w:p>
    <w:p>
      <w:pPr>
        <w:pStyle w:val="ListParagraph"/>
        <w:numPr>
          <w:ilvl w:val="0"/>
          <w:numId w:val="2"/>
        </w:numPr>
        <w:spacing w:after="30" w:before="30"/>
      </w:pPr>
      <w:r>
        <w:rPr>
          <w:rFonts w:ascii="Arial" w:cs="Arial" w:eastAsia="Arial" w:hAnsi="Arial"/>
          <w:color w:val="222222"/>
          <w:sz w:val="21"/>
          <w:szCs w:val="21"/>
        </w:rPr>
        <w:t xml:space="preserve">Standardized all project team processes, communications, and tooling across programs while allowing appropriate variation for industry-specific needs. Core tenets of standardization, repeatability, and documentation applied to every initiative and deliverable.</w:t>
      </w:r>
    </w:p>
    <w:p>
      <w:pPr>
        <w:pStyle w:val="ListParagraph"/>
        <w:numPr>
          <w:ilvl w:val="0"/>
          <w:numId w:val="2"/>
        </w:numPr>
        <w:spacing w:after="30" w:before="30"/>
      </w:pPr>
      <w:r>
        <w:rPr>
          <w:rFonts w:ascii="Arial" w:cs="Arial" w:eastAsia="Arial" w:hAnsi="Arial"/>
          <w:color w:val="222222"/>
          <w:sz w:val="21"/>
          <w:szCs w:val="21"/>
        </w:rPr>
        <w:t xml:space="preserve">Developed end-to-end project management blueprints standardizing 6+ month delivery cycles, and redesigned the cross-functional project team structure to align with shifting organizational strategy.</w:t>
      </w:r>
    </w:p>
    <w:p>
      <w:pPr>
        <w:tabs>
          <w:tab w:val="right" w:pos="9026"/>
        </w:tabs>
        <w:spacing w:after="20" w:before="160"/>
      </w:pPr>
      <w:r>
        <w:rPr>
          <w:rFonts w:ascii="Arial" w:cs="Arial" w:eastAsia="Arial" w:hAnsi="Arial"/>
          <w:b/>
          <w:bCs/>
          <w:color w:val="000000"/>
          <w:sz w:val="22"/>
          <w:szCs w:val="22"/>
        </w:rPr>
        <w:t xml:space="preserve">Senior Analyst, Consumer Electronics</w:t>
      </w:r>
      <w:r>
        <w:rPr>
          <w:rFonts w:ascii="Arial" w:cs="Arial" w:eastAsia="Arial" w:hAnsi="Arial"/>
          <w:color w:val="555555"/>
          <w:sz w:val="22"/>
          <w:szCs w:val="22"/>
        </w:rPr>
        <w:t xml:space="preserve"> | Euromonitor International</w:t>
      </w:r>
      <w:r>
        <w:rPr>
          <w:rFonts w:ascii="Arial" w:cs="Arial" w:eastAsia="Arial" w:hAnsi="Arial"/>
          <w:color w:val="555555"/>
          <w:sz w:val="21"/>
          <w:szCs w:val="21"/>
        </w:rPr>
        <w:t xml:space="preserve">	2010 – 2015</w:t>
      </w:r>
    </w:p>
    <w:p>
      <w:pPr>
        <w:pStyle w:val="ListParagraph"/>
        <w:numPr>
          <w:ilvl w:val="0"/>
          <w:numId w:val="2"/>
        </w:numPr>
        <w:spacing w:after="30" w:before="30"/>
      </w:pPr>
      <w:r>
        <w:rPr>
          <w:rFonts w:ascii="Arial" w:cs="Arial" w:eastAsia="Arial" w:hAnsi="Arial"/>
          <w:color w:val="222222"/>
          <w:sz w:val="21"/>
          <w:szCs w:val="21"/>
        </w:rPr>
        <w:t xml:space="preserve">Designed and managed a global syndicated research program, creating market analysis frameworks, company profiles, forecast models, and analyst training materials used across the organization.</w:t>
      </w:r>
    </w:p>
    <w:p>
      <w:pPr>
        <w:pStyle w:val="ListParagraph"/>
        <w:numPr>
          <w:ilvl w:val="0"/>
          <w:numId w:val="2"/>
        </w:numPr>
        <w:spacing w:after="30" w:before="30"/>
      </w:pPr>
      <w:r>
        <w:rPr>
          <w:rFonts w:ascii="Arial" w:cs="Arial" w:eastAsia="Arial" w:hAnsi="Arial"/>
          <w:color w:val="222222"/>
          <w:sz w:val="21"/>
          <w:szCs w:val="21"/>
        </w:rPr>
        <w:t xml:space="preserve">Served as subject-matter expert, producing strategic analysis referenced by enterprise clients for investment and market-entry decisions.</w:t>
      </w:r>
    </w:p>
    <w:p>
      <w:pPr>
        <w:tabs>
          <w:tab w:val="right" w:pos="9026"/>
        </w:tabs>
        <w:spacing w:after="20" w:before="160"/>
      </w:pPr>
      <w:r>
        <w:rPr>
          <w:rFonts w:ascii="Arial" w:cs="Arial" w:eastAsia="Arial" w:hAnsi="Arial"/>
          <w:b/>
          <w:bCs/>
          <w:color w:val="000000"/>
          <w:sz w:val="22"/>
          <w:szCs w:val="22"/>
        </w:rPr>
        <w:t xml:space="preserve">Research Analyst</w:t>
      </w:r>
      <w:r>
        <w:rPr>
          <w:rFonts w:ascii="Arial" w:cs="Arial" w:eastAsia="Arial" w:hAnsi="Arial"/>
          <w:color w:val="555555"/>
          <w:sz w:val="22"/>
          <w:szCs w:val="22"/>
        </w:rPr>
        <w:t xml:space="preserve"> | Euromonitor International</w:t>
      </w:r>
      <w:r>
        <w:rPr>
          <w:rFonts w:ascii="Arial" w:cs="Arial" w:eastAsia="Arial" w:hAnsi="Arial"/>
          <w:color w:val="555555"/>
          <w:sz w:val="21"/>
          <w:szCs w:val="21"/>
        </w:rPr>
        <w:t xml:space="preserve">	2008 – 2010</w:t>
      </w:r>
    </w:p>
    <w:p>
      <w:pPr>
        <w:pStyle w:val="ListParagraph"/>
        <w:numPr>
          <w:ilvl w:val="0"/>
          <w:numId w:val="2"/>
        </w:numPr>
        <w:spacing w:after="30" w:before="30"/>
      </w:pPr>
      <w:r>
        <w:rPr>
          <w:rFonts w:ascii="Arial" w:cs="Arial" w:eastAsia="Arial" w:hAnsi="Arial"/>
          <w:color w:val="222222"/>
          <w:sz w:val="21"/>
          <w:szCs w:val="21"/>
        </w:rPr>
        <w:t xml:space="preserve">Led a team of analysts delivering market research across FMCG industries in Russia, Ukraine, and Eastern European markets. Built foundational expertise in multi-country research coordination and data-driven market analysis.</w:t>
      </w:r>
    </w:p>
    <w:p>
      <w:pPr>
        <w:pBdr>
          <w:bottom w:val="single" w:color="999999" w:sz="4" w:space="2"/>
        </w:pBdr>
        <w:spacing w:after="80" w:before="260"/>
      </w:pPr>
      <w:r>
        <w:rPr>
          <w:rFonts w:ascii="Arial" w:cs="Arial" w:eastAsia="Arial" w:hAnsi="Arial"/>
          <w:b/>
          <w:bCs/>
          <w:color w:val="000000"/>
          <w:sz w:val="23"/>
          <w:szCs w:val="23"/>
        </w:rPr>
        <w:t xml:space="preserve">PRESENTATIONS</w:t>
      </w:r>
    </w:p>
    <w:p>
      <w:pPr>
        <w:pStyle w:val="ListParagraph"/>
        <w:numPr>
          <w:ilvl w:val="0"/>
          <w:numId w:val="2"/>
        </w:numPr>
        <w:spacing w:after="30" w:before="30"/>
      </w:pPr>
      <w:r>
        <w:rPr>
          <w:rFonts w:ascii="Arial" w:cs="Arial" w:eastAsia="Arial" w:hAnsi="Arial"/>
          <w:color w:val="222222"/>
          <w:sz w:val="21"/>
          <w:szCs w:val="21"/>
        </w:rPr>
        <w:t xml:space="preserve">"Context Engineering: Preparing for Mixed Teams" (2026)—Organizational framework for converting knowledge bases into machine-readable formats and designing effective human-AI workflows.</w:t>
      </w:r>
    </w:p>
    <w:p>
      <w:pPr>
        <w:pStyle w:val="ListParagraph"/>
        <w:numPr>
          <w:ilvl w:val="0"/>
          <w:numId w:val="2"/>
        </w:numPr>
        <w:spacing w:after="30" w:before="30"/>
      </w:pPr>
      <w:r>
        <w:rPr>
          <w:rFonts w:ascii="Arial" w:cs="Arial" w:eastAsia="Arial" w:hAnsi="Arial"/>
          <w:color w:val="222222"/>
          <w:sz w:val="21"/>
          <w:szCs w:val="21"/>
        </w:rPr>
        <w:t xml:space="preserve">"Data Analysis Tool: AI Agent Workflow" (2026)—Technical demonstration of auditable AI agent architecture with traceable outputs and human-in-the-loop verification at every stage.</w:t>
      </w:r>
    </w:p>
    <w:p>
      <w:pPr>
        <w:pBdr>
          <w:bottom w:val="single" w:color="999999" w:sz="4" w:space="2"/>
        </w:pBdr>
        <w:spacing w:after="80" w:before="260"/>
      </w:pPr>
      <w:r>
        <w:rPr>
          <w:rFonts w:ascii="Arial" w:cs="Arial" w:eastAsia="Arial" w:hAnsi="Arial"/>
          <w:b/>
          <w:bCs/>
          <w:color w:val="000000"/>
          <w:sz w:val="23"/>
          <w:szCs w:val="23"/>
        </w:rPr>
        <w:t xml:space="preserve">EDUCATION</w:t>
      </w:r>
    </w:p>
    <w:p>
      <w:pPr>
        <w:spacing w:after="40" w:before="100"/>
      </w:pPr>
      <w:r>
        <w:rPr>
          <w:rFonts w:ascii="Arial" w:cs="Arial" w:eastAsia="Arial" w:hAnsi="Arial"/>
          <w:b/>
          <w:bCs/>
          <w:color w:val="000000"/>
          <w:sz w:val="22"/>
          <w:szCs w:val="22"/>
        </w:rPr>
        <w:t xml:space="preserve">B.A. Economics</w:t>
      </w:r>
      <w:r>
        <w:rPr>
          <w:rFonts w:ascii="Arial" w:cs="Arial" w:eastAsia="Arial" w:hAnsi="Arial"/>
          <w:color w:val="555555"/>
          <w:sz w:val="22"/>
          <w:szCs w:val="22"/>
        </w:rPr>
        <w:t xml:space="preserve"> | University of Minnesota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2026-04-14T03:32:39.929Z</dcterms:created>
  <dcterms:modified xsi:type="dcterms:W3CDTF">2026-04-14T03:32:39.931Z</dcterms:modified>
</cp:coreProperties>
</file>

<file path=docProps/custom.xml><?xml version="1.0" encoding="utf-8"?>
<Properties xmlns="http://schemas.openxmlformats.org/officeDocument/2006/custom-properties" xmlns:vt="http://schemas.openxmlformats.org/officeDocument/2006/docPropsVTypes"/>
</file>