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D8" w:rsidRPr="00DF64BF" w:rsidRDefault="007E14D8" w:rsidP="00902C44">
      <w:pPr>
        <w:spacing w:after="0" w:line="240" w:lineRule="auto"/>
        <w:rPr>
          <w:rFonts w:eastAsia="Times New Roman" w:cs="Times New Roman"/>
          <w:sz w:val="36"/>
          <w:szCs w:val="36"/>
        </w:rPr>
      </w:pPr>
      <w:r w:rsidRPr="00DF64BF">
        <w:rPr>
          <w:rFonts w:eastAsia="Times New Roman" w:cs="Times New Roman"/>
          <w:sz w:val="36"/>
          <w:szCs w:val="36"/>
        </w:rPr>
        <w:t xml:space="preserve">2012 Commodity Flow Survey (CFS) </w:t>
      </w:r>
    </w:p>
    <w:p w:rsidR="007E14D8" w:rsidRPr="00DF64BF" w:rsidRDefault="007E14D8" w:rsidP="007E14D8">
      <w:pPr>
        <w:spacing w:after="0" w:line="240" w:lineRule="auto"/>
        <w:rPr>
          <w:rFonts w:eastAsia="Times New Roman" w:cs="Times New Roman"/>
          <w:sz w:val="36"/>
          <w:szCs w:val="36"/>
        </w:rPr>
      </w:pPr>
      <w:r w:rsidRPr="00DF64BF">
        <w:rPr>
          <w:rFonts w:eastAsia="Times New Roman" w:cs="Times New Roman"/>
          <w:sz w:val="36"/>
          <w:szCs w:val="36"/>
        </w:rPr>
        <w:t xml:space="preserve">Public Use Microdata (PUM) </w:t>
      </w:r>
      <w:r w:rsidR="003470CC" w:rsidRPr="00DF64BF">
        <w:rPr>
          <w:rFonts w:eastAsia="Times New Roman" w:cs="Times New Roman"/>
          <w:sz w:val="36"/>
          <w:szCs w:val="36"/>
        </w:rPr>
        <w:t>File</w:t>
      </w:r>
    </w:p>
    <w:p w:rsidR="007E14D8" w:rsidRPr="00DF64BF" w:rsidRDefault="007E14D8" w:rsidP="007E14D8">
      <w:pPr>
        <w:spacing w:after="0" w:line="240" w:lineRule="auto"/>
        <w:rPr>
          <w:rFonts w:eastAsia="Times New Roman" w:cs="Times New Roman"/>
          <w:sz w:val="36"/>
          <w:szCs w:val="36"/>
        </w:rPr>
      </w:pPr>
      <w:r w:rsidRPr="00DF64BF">
        <w:rPr>
          <w:rFonts w:eastAsia="Times New Roman" w:cs="Times New Roman"/>
          <w:sz w:val="36"/>
          <w:szCs w:val="36"/>
        </w:rPr>
        <w:t xml:space="preserve">Data Users Guide </w:t>
      </w:r>
    </w:p>
    <w:p w:rsidR="008D00EE" w:rsidRPr="00DF64BF" w:rsidRDefault="008D00EE" w:rsidP="007E14D8">
      <w:pPr>
        <w:spacing w:after="0" w:line="240" w:lineRule="auto"/>
        <w:rPr>
          <w:rFonts w:eastAsia="Times New Roman" w:cs="Arial"/>
          <w:i/>
          <w:sz w:val="28"/>
          <w:szCs w:val="28"/>
        </w:rPr>
      </w:pPr>
    </w:p>
    <w:p w:rsidR="007E14D8" w:rsidRPr="00DF64BF" w:rsidRDefault="007E14D8" w:rsidP="007E14D8">
      <w:pPr>
        <w:spacing w:after="0" w:line="240" w:lineRule="auto"/>
        <w:rPr>
          <w:rFonts w:eastAsia="Times New Roman" w:cs="Arial"/>
          <w:i/>
          <w:sz w:val="28"/>
          <w:szCs w:val="28"/>
        </w:rPr>
      </w:pPr>
      <w:r w:rsidRPr="00DF64BF">
        <w:rPr>
          <w:rFonts w:eastAsia="Times New Roman" w:cs="Arial"/>
          <w:i/>
          <w:sz w:val="28"/>
          <w:szCs w:val="28"/>
        </w:rPr>
        <w:t xml:space="preserve">Technical Documentation </w:t>
      </w:r>
    </w:p>
    <w:p w:rsidR="007E14D8" w:rsidRPr="00DF64BF" w:rsidRDefault="007E14D8" w:rsidP="007E14D8">
      <w:pPr>
        <w:spacing w:after="0" w:line="240" w:lineRule="auto"/>
        <w:rPr>
          <w:rFonts w:eastAsia="Times New Roman" w:cs="Arial"/>
        </w:rPr>
      </w:pPr>
      <w:r w:rsidRPr="00DF64BF">
        <w:rPr>
          <w:rFonts w:eastAsia="Times New Roman" w:cs="Arial"/>
        </w:rPr>
        <w:t>Issued</w:t>
      </w:r>
      <w:r w:rsidR="00C86EA2" w:rsidRPr="00DF64BF">
        <w:rPr>
          <w:rFonts w:eastAsia="Times New Roman" w:cs="Arial"/>
        </w:rPr>
        <w:t>:</w:t>
      </w:r>
      <w:r w:rsidRPr="00DF64BF">
        <w:rPr>
          <w:rFonts w:eastAsia="Times New Roman" w:cs="Arial"/>
        </w:rPr>
        <w:t xml:space="preserve"> June 2015</w:t>
      </w:r>
    </w:p>
    <w:p w:rsidR="00C86EA2" w:rsidRPr="00DF64BF" w:rsidRDefault="00C86EA2" w:rsidP="007E14D8">
      <w:pPr>
        <w:spacing w:after="0" w:line="240" w:lineRule="auto"/>
        <w:rPr>
          <w:rFonts w:eastAsia="Times New Roman" w:cs="Arial"/>
        </w:rPr>
      </w:pPr>
      <w:r w:rsidRPr="00DF64BF">
        <w:rPr>
          <w:rFonts w:eastAsia="Times New Roman" w:cs="Arial"/>
        </w:rPr>
        <w:t xml:space="preserve">Revised: </w:t>
      </w:r>
      <w:r w:rsidR="004264C4">
        <w:rPr>
          <w:rFonts w:eastAsia="Times New Roman" w:cs="Arial"/>
        </w:rPr>
        <w:t>January 2018</w:t>
      </w:r>
    </w:p>
    <w:p w:rsidR="000F665E" w:rsidRPr="00DF64BF" w:rsidRDefault="000F665E" w:rsidP="007E14D8">
      <w:pPr>
        <w:spacing w:after="0" w:line="240" w:lineRule="auto"/>
        <w:rPr>
          <w:rFonts w:eastAsia="Times New Roman" w:cs="Arial"/>
        </w:rPr>
      </w:pPr>
    </w:p>
    <w:p w:rsidR="007E14D8" w:rsidRPr="00DF64BF" w:rsidRDefault="007E14D8" w:rsidP="007E14D8">
      <w:pPr>
        <w:pStyle w:val="ListParagraph"/>
        <w:numPr>
          <w:ilvl w:val="0"/>
          <w:numId w:val="3"/>
        </w:numPr>
        <w:spacing w:after="0" w:line="240" w:lineRule="auto"/>
        <w:ind w:left="360"/>
        <w:rPr>
          <w:rFonts w:eastAsia="Times New Roman" w:cs="Arial"/>
          <w:b/>
          <w:sz w:val="24"/>
          <w:szCs w:val="24"/>
        </w:rPr>
      </w:pPr>
      <w:r w:rsidRPr="00DF64BF">
        <w:rPr>
          <w:rFonts w:eastAsia="Times New Roman" w:cs="Arial"/>
          <w:b/>
          <w:sz w:val="24"/>
          <w:szCs w:val="24"/>
        </w:rPr>
        <w:t xml:space="preserve">Introduction </w:t>
      </w:r>
    </w:p>
    <w:p w:rsidR="008D00EE" w:rsidRPr="00DF64BF" w:rsidRDefault="008D00EE" w:rsidP="00B8643F">
      <w:pPr>
        <w:spacing w:after="0" w:line="240" w:lineRule="auto"/>
        <w:ind w:left="360"/>
        <w:rPr>
          <w:rFonts w:eastAsia="Times New Roman" w:cs="Arial"/>
        </w:rPr>
      </w:pPr>
    </w:p>
    <w:p w:rsidR="0072323E" w:rsidRPr="00DF64BF" w:rsidRDefault="007E14D8" w:rsidP="0072323E">
      <w:pPr>
        <w:spacing w:after="0" w:line="240" w:lineRule="auto"/>
        <w:ind w:left="360"/>
        <w:rPr>
          <w:rFonts w:eastAsia="Times New Roman" w:cs="Arial"/>
        </w:rPr>
      </w:pPr>
      <w:r w:rsidRPr="00DF64BF">
        <w:rPr>
          <w:rFonts w:eastAsia="Times New Roman" w:cs="Arial"/>
        </w:rPr>
        <w:t xml:space="preserve">This document describes the Public Use Microdata (PUM) </w:t>
      </w:r>
      <w:r w:rsidR="003470CC" w:rsidRPr="00DF64BF">
        <w:rPr>
          <w:rFonts w:eastAsia="Times New Roman" w:cs="Arial"/>
        </w:rPr>
        <w:t xml:space="preserve">File </w:t>
      </w:r>
      <w:r w:rsidRPr="00DF64BF">
        <w:rPr>
          <w:rFonts w:eastAsia="Times New Roman" w:cs="Arial"/>
        </w:rPr>
        <w:t xml:space="preserve">created for the 2012 Commodity Flow Survey (CFS). </w:t>
      </w:r>
      <w:r w:rsidR="0072323E" w:rsidRPr="00DF64BF">
        <w:rPr>
          <w:rFonts w:eastAsia="Times New Roman" w:cs="Arial"/>
        </w:rPr>
        <w:t xml:space="preserve">This user guide provides a brief description of the CFS and the differences between the CFS data used to create the published estimates and the records </w:t>
      </w:r>
      <w:r w:rsidR="003470CC" w:rsidRPr="00DF64BF">
        <w:rPr>
          <w:rFonts w:eastAsia="Times New Roman" w:cs="Arial"/>
        </w:rPr>
        <w:t>available in the PUM file</w:t>
      </w:r>
      <w:r w:rsidR="0072323E" w:rsidRPr="00DF64BF">
        <w:rPr>
          <w:rFonts w:eastAsia="Times New Roman" w:cs="Arial"/>
        </w:rPr>
        <w:t xml:space="preserve">. This document also explains how to create estimates and measures of sampling </w:t>
      </w:r>
      <w:r w:rsidR="003470CC" w:rsidRPr="00DF64BF">
        <w:rPr>
          <w:rFonts w:eastAsia="Times New Roman" w:cs="Arial"/>
        </w:rPr>
        <w:t>variability from the PUM file</w:t>
      </w:r>
      <w:r w:rsidR="0072323E" w:rsidRPr="00DF64BF">
        <w:rPr>
          <w:rFonts w:eastAsia="Times New Roman" w:cs="Arial"/>
        </w:rPr>
        <w:t xml:space="preserve"> data. </w:t>
      </w:r>
      <w:r w:rsidR="00C052DC" w:rsidRPr="00DF64BF">
        <w:rPr>
          <w:rFonts w:eastAsia="Times New Roman" w:cs="Arial"/>
        </w:rPr>
        <w:t xml:space="preserve"> For a complete description of the CFS and access to the published tables, visit the CFS website </w:t>
      </w:r>
      <w:r w:rsidR="006172F8" w:rsidRPr="00DF64BF">
        <w:rPr>
          <w:rFonts w:eastAsia="Times New Roman" w:cs="Arial"/>
        </w:rPr>
        <w:t xml:space="preserve">at: </w:t>
      </w:r>
      <w:hyperlink r:id="rId8" w:history="1">
        <w:r w:rsidR="00F6334B" w:rsidRPr="00DF64BF">
          <w:rPr>
            <w:rStyle w:val="Hyperlink"/>
            <w:rFonts w:eastAsia="Times New Roman" w:cs="Arial"/>
          </w:rPr>
          <w:t>www.census.gov/econ/cfs/</w:t>
        </w:r>
      </w:hyperlink>
      <w:r w:rsidR="00C052DC" w:rsidRPr="00DF64BF">
        <w:rPr>
          <w:rFonts w:eastAsia="Times New Roman" w:cs="Arial"/>
        </w:rPr>
        <w:t>.</w:t>
      </w:r>
      <w:r w:rsidR="00F6334B" w:rsidRPr="00DF64BF">
        <w:rPr>
          <w:rFonts w:eastAsia="Times New Roman" w:cs="Arial"/>
        </w:rPr>
        <w:t xml:space="preserve">  This is an experimental data product and comments from users regarding the content and usefulness of this product</w:t>
      </w:r>
      <w:r w:rsidR="00A224C6" w:rsidRPr="00DF64BF">
        <w:rPr>
          <w:rFonts w:eastAsia="Times New Roman" w:cs="Arial"/>
        </w:rPr>
        <w:t xml:space="preserve"> are appreciated.  Contact the CFS staff by e-mail (ERD.CFS@census.gov) or phone (301-763-2108) with your comments.</w:t>
      </w:r>
    </w:p>
    <w:p w:rsidR="00B8643F" w:rsidRPr="00DF64BF" w:rsidRDefault="00B8643F" w:rsidP="007E14D8">
      <w:pPr>
        <w:spacing w:after="0" w:line="240" w:lineRule="auto"/>
        <w:rPr>
          <w:rFonts w:eastAsia="Times New Roman" w:cs="Arial"/>
        </w:rPr>
      </w:pPr>
    </w:p>
    <w:p w:rsidR="007E14D8" w:rsidRPr="00DF64BF" w:rsidRDefault="00B8643F" w:rsidP="00B8643F">
      <w:pPr>
        <w:pStyle w:val="ListParagraph"/>
        <w:numPr>
          <w:ilvl w:val="0"/>
          <w:numId w:val="3"/>
        </w:numPr>
        <w:spacing w:after="0" w:line="240" w:lineRule="auto"/>
        <w:ind w:left="360"/>
        <w:rPr>
          <w:rFonts w:eastAsia="Times New Roman" w:cs="Arial"/>
          <w:b/>
          <w:sz w:val="24"/>
          <w:szCs w:val="24"/>
        </w:rPr>
      </w:pPr>
      <w:r w:rsidRPr="00DF64BF">
        <w:rPr>
          <w:rFonts w:eastAsia="Times New Roman" w:cs="Arial"/>
          <w:b/>
          <w:sz w:val="24"/>
          <w:szCs w:val="24"/>
        </w:rPr>
        <w:t>CFS</w:t>
      </w:r>
      <w:r w:rsidR="007E14D8" w:rsidRPr="00DF64BF">
        <w:rPr>
          <w:rFonts w:eastAsia="Times New Roman" w:cs="Arial"/>
          <w:b/>
          <w:sz w:val="24"/>
          <w:szCs w:val="24"/>
        </w:rPr>
        <w:t xml:space="preserve"> Background </w:t>
      </w:r>
    </w:p>
    <w:p w:rsidR="008D00EE" w:rsidRPr="00DF64BF" w:rsidRDefault="008D00EE" w:rsidP="00B8643F">
      <w:pPr>
        <w:spacing w:after="0" w:line="240" w:lineRule="auto"/>
        <w:ind w:left="360"/>
        <w:rPr>
          <w:rFonts w:eastAsia="Times New Roman" w:cs="Arial"/>
        </w:rPr>
      </w:pPr>
    </w:p>
    <w:p w:rsidR="000F665E" w:rsidRPr="00DF64BF" w:rsidRDefault="000F665E" w:rsidP="00B8643F">
      <w:pPr>
        <w:spacing w:after="0" w:line="240" w:lineRule="auto"/>
        <w:ind w:left="360"/>
      </w:pPr>
      <w:r w:rsidRPr="00DF64BF">
        <w:t xml:space="preserve">The Commodity Flow Survey (CFS) is a joint effort by the Bureau of Transportation Statistics (BTS) and the U.S. Census Bureau, U.S. Department of Commerce. The survey is the primary source of national and state-level data on domestic freight shipments by establishments in mining, manufacturing, wholesale, auxiliaries, and selected retail and services trade industries located in the 50 states and the District of Columbia. </w:t>
      </w:r>
      <w:r w:rsidR="00C052DC" w:rsidRPr="00DF64BF">
        <w:t>The survey produces estimates</w:t>
      </w:r>
      <w:r w:rsidRPr="00DF64BF">
        <w:t xml:space="preserve"> on the type, origin and destination, value, weight, modes of transportation, distance shipped, and ton-miles of commodities shipped. The CFS is conducted every five years as part of the Economic Census. It provides a modal picture of national freight flows, and represents the only publicly available source of commodity flow data for the highway mode. The CFS was conducted in 1993, 1997, 2002, 2007 and most recently in 2012.</w:t>
      </w:r>
    </w:p>
    <w:p w:rsidR="005915AC" w:rsidRPr="00DF64BF" w:rsidRDefault="005915AC" w:rsidP="00B8643F">
      <w:pPr>
        <w:spacing w:after="0" w:line="240" w:lineRule="auto"/>
        <w:ind w:left="360"/>
        <w:rPr>
          <w:rFonts w:eastAsia="Times New Roman" w:cs="Arial"/>
        </w:rPr>
      </w:pPr>
    </w:p>
    <w:p w:rsidR="007E14D8" w:rsidRPr="00DF64BF" w:rsidRDefault="007E14D8" w:rsidP="00B8643F">
      <w:pPr>
        <w:spacing w:after="0" w:line="240" w:lineRule="auto"/>
        <w:ind w:left="360"/>
        <w:rPr>
          <w:rFonts w:eastAsia="Times New Roman" w:cs="Arial"/>
        </w:rPr>
      </w:pPr>
      <w:r w:rsidRPr="00DF64BF">
        <w:rPr>
          <w:rFonts w:eastAsia="Times New Roman" w:cs="Arial"/>
        </w:rPr>
        <w:t xml:space="preserve">For special tabulations of the </w:t>
      </w:r>
      <w:r w:rsidR="00B8643F" w:rsidRPr="00DF64BF">
        <w:rPr>
          <w:rFonts w:eastAsia="Times New Roman" w:cs="Arial"/>
        </w:rPr>
        <w:t>CFS</w:t>
      </w:r>
      <w:r w:rsidRPr="00DF64BF">
        <w:rPr>
          <w:rFonts w:eastAsia="Times New Roman" w:cs="Arial"/>
        </w:rPr>
        <w:t xml:space="preserve"> data that </w:t>
      </w:r>
      <w:r w:rsidR="00D51698" w:rsidRPr="00DF64BF">
        <w:rPr>
          <w:rFonts w:eastAsia="Times New Roman" w:cs="Arial"/>
        </w:rPr>
        <w:t>cannot be computed using this</w:t>
      </w:r>
      <w:r w:rsidR="003470CC" w:rsidRPr="00DF64BF">
        <w:rPr>
          <w:rFonts w:eastAsia="Times New Roman" w:cs="Arial"/>
        </w:rPr>
        <w:t xml:space="preserve"> PUM file</w:t>
      </w:r>
      <w:r w:rsidRPr="00DF64BF">
        <w:rPr>
          <w:rFonts w:eastAsia="Times New Roman" w:cs="Arial"/>
        </w:rPr>
        <w:t xml:space="preserve">, contact the </w:t>
      </w:r>
      <w:r w:rsidR="00B8643F" w:rsidRPr="00DF64BF">
        <w:rPr>
          <w:rFonts w:eastAsia="Times New Roman" w:cs="Arial"/>
        </w:rPr>
        <w:t>CFS</w:t>
      </w:r>
      <w:r w:rsidRPr="00DF64BF">
        <w:rPr>
          <w:rFonts w:eastAsia="Times New Roman" w:cs="Arial"/>
        </w:rPr>
        <w:t xml:space="preserve"> staff by e-mail (</w:t>
      </w:r>
      <w:r w:rsidR="005915AC" w:rsidRPr="00DF64BF">
        <w:rPr>
          <w:rFonts w:eastAsia="Times New Roman" w:cs="Arial"/>
        </w:rPr>
        <w:t>ERD.CFS</w:t>
      </w:r>
      <w:r w:rsidRPr="00DF64BF">
        <w:rPr>
          <w:rFonts w:eastAsia="Times New Roman" w:cs="Arial"/>
        </w:rPr>
        <w:t>@census.gov) or phone (301-763-</w:t>
      </w:r>
      <w:r w:rsidR="005915AC" w:rsidRPr="00DF64BF">
        <w:rPr>
          <w:rFonts w:eastAsia="Times New Roman" w:cs="Arial"/>
        </w:rPr>
        <w:t>2108</w:t>
      </w:r>
      <w:r w:rsidRPr="00DF64BF">
        <w:rPr>
          <w:rFonts w:eastAsia="Times New Roman" w:cs="Arial"/>
        </w:rPr>
        <w:t>)</w:t>
      </w:r>
      <w:r w:rsidR="00B8643F" w:rsidRPr="00DF64BF">
        <w:rPr>
          <w:rFonts w:eastAsia="Times New Roman" w:cs="Arial"/>
        </w:rPr>
        <w:t xml:space="preserve"> </w:t>
      </w:r>
      <w:r w:rsidRPr="00DF64BF">
        <w:rPr>
          <w:rFonts w:eastAsia="Times New Roman" w:cs="Arial"/>
        </w:rPr>
        <w:t xml:space="preserve">to discuss cost estimates and exact specifications for the type and format of the data requested. </w:t>
      </w:r>
    </w:p>
    <w:p w:rsidR="007E14D8" w:rsidRPr="00DF64BF" w:rsidRDefault="007E14D8" w:rsidP="00983ACD">
      <w:pPr>
        <w:tabs>
          <w:tab w:val="left" w:pos="360"/>
        </w:tabs>
        <w:spacing w:after="0" w:line="240" w:lineRule="auto"/>
        <w:rPr>
          <w:rFonts w:eastAsia="Times New Roman" w:cs="Arial"/>
        </w:rPr>
      </w:pPr>
    </w:p>
    <w:p w:rsidR="00983ACD" w:rsidRPr="00DF64BF" w:rsidRDefault="00983ACD" w:rsidP="00983ACD">
      <w:pPr>
        <w:tabs>
          <w:tab w:val="left" w:pos="360"/>
        </w:tabs>
        <w:spacing w:after="0" w:line="240" w:lineRule="auto"/>
        <w:rPr>
          <w:rFonts w:eastAsia="Times New Roman" w:cs="Arial"/>
          <w:b/>
          <w:sz w:val="24"/>
          <w:szCs w:val="24"/>
        </w:rPr>
      </w:pPr>
      <w:r w:rsidRPr="00DF64BF">
        <w:rPr>
          <w:rFonts w:eastAsia="Times New Roman" w:cs="Arial"/>
          <w:b/>
          <w:sz w:val="24"/>
          <w:szCs w:val="24"/>
        </w:rPr>
        <w:t>3.</w:t>
      </w:r>
      <w:r w:rsidRPr="00DF64BF">
        <w:rPr>
          <w:rFonts w:eastAsia="Times New Roman" w:cs="Arial"/>
          <w:b/>
          <w:sz w:val="24"/>
          <w:szCs w:val="24"/>
        </w:rPr>
        <w:tab/>
        <w:t>PUM</w:t>
      </w:r>
      <w:r w:rsidR="003470CC" w:rsidRPr="00DF64BF">
        <w:rPr>
          <w:rFonts w:eastAsia="Times New Roman" w:cs="Arial"/>
          <w:b/>
          <w:sz w:val="24"/>
          <w:szCs w:val="24"/>
        </w:rPr>
        <w:t xml:space="preserve"> </w:t>
      </w:r>
      <w:r w:rsidR="00D51698" w:rsidRPr="00DF64BF">
        <w:rPr>
          <w:rFonts w:eastAsia="Times New Roman" w:cs="Arial"/>
          <w:b/>
          <w:sz w:val="24"/>
          <w:szCs w:val="24"/>
        </w:rPr>
        <w:t>F</w:t>
      </w:r>
      <w:r w:rsidR="003470CC" w:rsidRPr="00DF64BF">
        <w:rPr>
          <w:rFonts w:eastAsia="Times New Roman" w:cs="Arial"/>
          <w:b/>
          <w:sz w:val="24"/>
          <w:szCs w:val="24"/>
        </w:rPr>
        <w:t>ile Contents</w:t>
      </w:r>
    </w:p>
    <w:p w:rsidR="008D00EE" w:rsidRPr="00DF64BF" w:rsidRDefault="008D00EE" w:rsidP="00B8643F">
      <w:pPr>
        <w:spacing w:after="0" w:line="240" w:lineRule="auto"/>
        <w:ind w:left="360"/>
        <w:rPr>
          <w:rFonts w:eastAsia="Times New Roman" w:cs="Arial"/>
        </w:rPr>
      </w:pPr>
    </w:p>
    <w:p w:rsidR="00983ACD" w:rsidRPr="00DF64BF" w:rsidRDefault="00983ACD" w:rsidP="00B8643F">
      <w:pPr>
        <w:spacing w:after="0" w:line="240" w:lineRule="auto"/>
        <w:ind w:left="360"/>
        <w:rPr>
          <w:rFonts w:eastAsia="Times New Roman" w:cs="Arial"/>
        </w:rPr>
      </w:pPr>
      <w:r w:rsidRPr="00DF64BF">
        <w:rPr>
          <w:rFonts w:eastAsia="Times New Roman" w:cs="Arial"/>
        </w:rPr>
        <w:t>The PUM</w:t>
      </w:r>
      <w:r w:rsidR="003470CC" w:rsidRPr="00DF64BF">
        <w:rPr>
          <w:rFonts w:eastAsia="Times New Roman" w:cs="Arial"/>
        </w:rPr>
        <w:t xml:space="preserve"> file</w:t>
      </w:r>
      <w:r w:rsidR="00C623A3" w:rsidRPr="00DF64BF">
        <w:rPr>
          <w:rFonts w:eastAsia="Times New Roman" w:cs="Arial"/>
        </w:rPr>
        <w:t xml:space="preserve"> includes 20 variables for</w:t>
      </w:r>
      <w:r w:rsidRPr="00DF64BF">
        <w:rPr>
          <w:rFonts w:eastAsia="Times New Roman" w:cs="Arial"/>
        </w:rPr>
        <w:t xml:space="preserve"> </w:t>
      </w:r>
      <w:r w:rsidR="0077733D" w:rsidRPr="00DF64BF">
        <w:rPr>
          <w:rFonts w:eastAsia="Times New Roman" w:cs="Arial"/>
        </w:rPr>
        <w:t xml:space="preserve">all usable </w:t>
      </w:r>
      <w:r w:rsidRPr="00DF64BF">
        <w:rPr>
          <w:rFonts w:eastAsia="Times New Roman" w:cs="Arial"/>
        </w:rPr>
        <w:t>shipment records collected by the CFS</w:t>
      </w:r>
      <w:r w:rsidR="0077733D" w:rsidRPr="00DF64BF">
        <w:rPr>
          <w:rFonts w:eastAsia="Times New Roman" w:cs="Arial"/>
        </w:rPr>
        <w:t xml:space="preserve"> – a total of 4,</w:t>
      </w:r>
      <w:r w:rsidR="00F97557" w:rsidRPr="00DF64BF">
        <w:rPr>
          <w:rFonts w:eastAsia="Times New Roman" w:cs="Arial"/>
        </w:rPr>
        <w:t>547,661</w:t>
      </w:r>
      <w:r w:rsidR="0077733D" w:rsidRPr="00DF64BF">
        <w:rPr>
          <w:rFonts w:eastAsia="Times New Roman" w:cs="Arial"/>
        </w:rPr>
        <w:t xml:space="preserve"> shipments</w:t>
      </w:r>
      <w:r w:rsidR="00FF069E" w:rsidRPr="00DF64BF">
        <w:rPr>
          <w:rFonts w:eastAsia="Times New Roman" w:cs="Arial"/>
        </w:rPr>
        <w:t xml:space="preserve"> from approximately 60,000 </w:t>
      </w:r>
      <w:r w:rsidR="003470CC" w:rsidRPr="00DF64BF">
        <w:rPr>
          <w:rFonts w:eastAsia="Times New Roman" w:cs="Arial"/>
        </w:rPr>
        <w:t xml:space="preserve">responding </w:t>
      </w:r>
      <w:r w:rsidR="00FF069E" w:rsidRPr="00DF64BF">
        <w:rPr>
          <w:rFonts w:eastAsia="Times New Roman" w:cs="Arial"/>
        </w:rPr>
        <w:t>establishments</w:t>
      </w:r>
      <w:r w:rsidRPr="00DF64BF">
        <w:rPr>
          <w:rFonts w:eastAsia="Times New Roman" w:cs="Arial"/>
        </w:rPr>
        <w:t xml:space="preserve">.  The information included </w:t>
      </w:r>
      <w:r w:rsidR="0077733D" w:rsidRPr="00DF64BF">
        <w:rPr>
          <w:rFonts w:eastAsia="Times New Roman" w:cs="Arial"/>
        </w:rPr>
        <w:t>on</w:t>
      </w:r>
      <w:r w:rsidRPr="00DF64BF">
        <w:rPr>
          <w:rFonts w:eastAsia="Times New Roman" w:cs="Arial"/>
        </w:rPr>
        <w:t xml:space="preserve"> each shipment </w:t>
      </w:r>
      <w:r w:rsidR="0077733D" w:rsidRPr="00DF64BF">
        <w:rPr>
          <w:rFonts w:eastAsia="Times New Roman" w:cs="Arial"/>
        </w:rPr>
        <w:t>record is:</w:t>
      </w:r>
    </w:p>
    <w:p w:rsidR="00983ACD" w:rsidRPr="00DF64BF" w:rsidRDefault="00983ACD" w:rsidP="00983ACD">
      <w:pPr>
        <w:pStyle w:val="ListParagraph"/>
        <w:numPr>
          <w:ilvl w:val="0"/>
          <w:numId w:val="1"/>
        </w:numPr>
        <w:spacing w:after="0" w:line="240" w:lineRule="auto"/>
        <w:rPr>
          <w:rFonts w:eastAsia="Times New Roman" w:cs="Arial"/>
        </w:rPr>
      </w:pPr>
      <w:r w:rsidRPr="00DF64BF">
        <w:rPr>
          <w:rFonts w:eastAsia="Times New Roman" w:cs="Arial"/>
        </w:rPr>
        <w:t>Shipment Origin</w:t>
      </w:r>
    </w:p>
    <w:p w:rsidR="00983ACD" w:rsidRPr="00DF64BF" w:rsidRDefault="00983ACD" w:rsidP="00B8643F">
      <w:pPr>
        <w:pStyle w:val="ListParagraph"/>
        <w:numPr>
          <w:ilvl w:val="0"/>
          <w:numId w:val="2"/>
        </w:numPr>
        <w:spacing w:after="0" w:line="240" w:lineRule="auto"/>
        <w:ind w:left="1080"/>
        <w:rPr>
          <w:rFonts w:eastAsia="Times New Roman" w:cs="Arial"/>
        </w:rPr>
      </w:pPr>
      <w:r w:rsidRPr="00DF64BF">
        <w:rPr>
          <w:rFonts w:eastAsia="Times New Roman" w:cs="Arial"/>
        </w:rPr>
        <w:t xml:space="preserve">State </w:t>
      </w:r>
    </w:p>
    <w:p w:rsidR="00983ACD" w:rsidRPr="00DF64BF" w:rsidRDefault="00983ACD" w:rsidP="00B8643F">
      <w:pPr>
        <w:pStyle w:val="ListParagraph"/>
        <w:numPr>
          <w:ilvl w:val="0"/>
          <w:numId w:val="2"/>
        </w:numPr>
        <w:spacing w:after="0" w:line="240" w:lineRule="auto"/>
        <w:ind w:left="1080"/>
        <w:rPr>
          <w:rFonts w:eastAsia="Times New Roman" w:cs="Arial"/>
        </w:rPr>
      </w:pPr>
      <w:r w:rsidRPr="00DF64BF">
        <w:rPr>
          <w:rFonts w:eastAsia="Times New Roman" w:cs="Arial"/>
        </w:rPr>
        <w:t>Metropolitan Area</w:t>
      </w:r>
    </w:p>
    <w:p w:rsidR="00983ACD" w:rsidRPr="00DF64BF" w:rsidRDefault="00983ACD" w:rsidP="00983ACD">
      <w:pPr>
        <w:pStyle w:val="ListParagraph"/>
        <w:numPr>
          <w:ilvl w:val="0"/>
          <w:numId w:val="1"/>
        </w:numPr>
        <w:spacing w:after="0" w:line="240" w:lineRule="auto"/>
        <w:rPr>
          <w:rFonts w:eastAsia="Times New Roman" w:cs="Arial"/>
        </w:rPr>
      </w:pPr>
      <w:r w:rsidRPr="00DF64BF">
        <w:rPr>
          <w:rFonts w:eastAsia="Times New Roman" w:cs="Arial"/>
        </w:rPr>
        <w:t xml:space="preserve">Shipment Destination </w:t>
      </w:r>
      <w:r w:rsidR="005114AA" w:rsidRPr="00DF64BF">
        <w:rPr>
          <w:rFonts w:eastAsia="Times New Roman" w:cs="Arial"/>
        </w:rPr>
        <w:t>(in US)</w:t>
      </w:r>
    </w:p>
    <w:p w:rsidR="00983ACD" w:rsidRPr="00DF64BF" w:rsidRDefault="00983ACD" w:rsidP="00B8643F">
      <w:pPr>
        <w:pStyle w:val="ListParagraph"/>
        <w:numPr>
          <w:ilvl w:val="1"/>
          <w:numId w:val="1"/>
        </w:numPr>
        <w:spacing w:after="0" w:line="240" w:lineRule="auto"/>
        <w:ind w:left="1080"/>
        <w:rPr>
          <w:rFonts w:eastAsia="Times New Roman" w:cs="Arial"/>
        </w:rPr>
      </w:pPr>
      <w:r w:rsidRPr="00DF64BF">
        <w:rPr>
          <w:rFonts w:eastAsia="Times New Roman" w:cs="Arial"/>
        </w:rPr>
        <w:t>State</w:t>
      </w:r>
    </w:p>
    <w:p w:rsidR="00983ACD" w:rsidRPr="00DF64BF" w:rsidRDefault="00983ACD" w:rsidP="00B8643F">
      <w:pPr>
        <w:pStyle w:val="ListParagraph"/>
        <w:numPr>
          <w:ilvl w:val="1"/>
          <w:numId w:val="1"/>
        </w:numPr>
        <w:spacing w:after="0" w:line="240" w:lineRule="auto"/>
        <w:ind w:left="1080"/>
        <w:rPr>
          <w:rFonts w:eastAsia="Times New Roman" w:cs="Arial"/>
        </w:rPr>
      </w:pPr>
      <w:r w:rsidRPr="00DF64BF">
        <w:rPr>
          <w:rFonts w:eastAsia="Times New Roman" w:cs="Arial"/>
        </w:rPr>
        <w:t>Metropolitan Area</w:t>
      </w:r>
    </w:p>
    <w:p w:rsidR="00983ACD" w:rsidRPr="00DF64BF" w:rsidRDefault="00983ACD" w:rsidP="00983ACD">
      <w:pPr>
        <w:pStyle w:val="ListParagraph"/>
        <w:numPr>
          <w:ilvl w:val="0"/>
          <w:numId w:val="1"/>
        </w:numPr>
        <w:spacing w:after="0" w:line="240" w:lineRule="auto"/>
        <w:rPr>
          <w:rFonts w:eastAsia="Times New Roman" w:cs="Arial"/>
        </w:rPr>
      </w:pPr>
      <w:r w:rsidRPr="00DF64BF">
        <w:rPr>
          <w:rFonts w:eastAsia="Times New Roman" w:cs="Arial"/>
        </w:rPr>
        <w:t>NAICS industry classification of the shipper</w:t>
      </w:r>
    </w:p>
    <w:p w:rsidR="00E7477C" w:rsidRPr="00DF64BF" w:rsidRDefault="00E7477C" w:rsidP="00983ACD">
      <w:pPr>
        <w:pStyle w:val="ListParagraph"/>
        <w:numPr>
          <w:ilvl w:val="0"/>
          <w:numId w:val="1"/>
        </w:numPr>
        <w:spacing w:after="0" w:line="240" w:lineRule="auto"/>
        <w:rPr>
          <w:rFonts w:eastAsia="Times New Roman" w:cs="Arial"/>
        </w:rPr>
      </w:pPr>
      <w:r w:rsidRPr="00DF64BF">
        <w:rPr>
          <w:rFonts w:eastAsia="Times New Roman" w:cs="Arial"/>
        </w:rPr>
        <w:lastRenderedPageBreak/>
        <w:t xml:space="preserve">Quarter in 2012 in which the shipment </w:t>
      </w:r>
      <w:r w:rsidR="00FF069E" w:rsidRPr="00DF64BF">
        <w:rPr>
          <w:rFonts w:eastAsia="Times New Roman" w:cs="Arial"/>
        </w:rPr>
        <w:t>was made</w:t>
      </w:r>
    </w:p>
    <w:p w:rsidR="00983ACD" w:rsidRPr="00DF64BF" w:rsidRDefault="00FF069E" w:rsidP="00983ACD">
      <w:pPr>
        <w:pStyle w:val="ListParagraph"/>
        <w:numPr>
          <w:ilvl w:val="0"/>
          <w:numId w:val="1"/>
        </w:numPr>
        <w:spacing w:after="0" w:line="240" w:lineRule="auto"/>
        <w:rPr>
          <w:rFonts w:eastAsia="Times New Roman" w:cs="Arial"/>
        </w:rPr>
      </w:pPr>
      <w:r w:rsidRPr="00DF64BF">
        <w:rPr>
          <w:rFonts w:eastAsia="Times New Roman" w:cs="Arial"/>
        </w:rPr>
        <w:t>Type of c</w:t>
      </w:r>
      <w:r w:rsidR="00983ACD" w:rsidRPr="00DF64BF">
        <w:rPr>
          <w:rFonts w:eastAsia="Times New Roman" w:cs="Arial"/>
        </w:rPr>
        <w:t>ommodity</w:t>
      </w:r>
      <w:r w:rsidR="00A2275D" w:rsidRPr="00DF64BF">
        <w:rPr>
          <w:rFonts w:eastAsia="Times New Roman" w:cs="Arial"/>
        </w:rPr>
        <w:t xml:space="preserve"> </w:t>
      </w:r>
    </w:p>
    <w:p w:rsidR="00983ACD" w:rsidRPr="00DF64BF" w:rsidRDefault="00983ACD" w:rsidP="00983ACD">
      <w:pPr>
        <w:pStyle w:val="ListParagraph"/>
        <w:numPr>
          <w:ilvl w:val="0"/>
          <w:numId w:val="1"/>
        </w:numPr>
        <w:spacing w:after="0" w:line="240" w:lineRule="auto"/>
        <w:rPr>
          <w:rFonts w:eastAsia="Times New Roman" w:cs="Arial"/>
        </w:rPr>
      </w:pPr>
      <w:r w:rsidRPr="00DF64BF">
        <w:rPr>
          <w:rFonts w:eastAsia="Times New Roman" w:cs="Arial"/>
        </w:rPr>
        <w:t xml:space="preserve">Mode of </w:t>
      </w:r>
      <w:r w:rsidR="00FF069E" w:rsidRPr="00DF64BF">
        <w:rPr>
          <w:rFonts w:eastAsia="Times New Roman" w:cs="Arial"/>
        </w:rPr>
        <w:t>t</w:t>
      </w:r>
      <w:r w:rsidRPr="00DF64BF">
        <w:rPr>
          <w:rFonts w:eastAsia="Times New Roman" w:cs="Arial"/>
        </w:rPr>
        <w:t>ransportation</w:t>
      </w:r>
    </w:p>
    <w:p w:rsidR="00E7477C" w:rsidRPr="00DF64BF" w:rsidRDefault="00E7477C" w:rsidP="00983ACD">
      <w:pPr>
        <w:pStyle w:val="ListParagraph"/>
        <w:numPr>
          <w:ilvl w:val="0"/>
          <w:numId w:val="1"/>
        </w:numPr>
        <w:spacing w:after="0" w:line="240" w:lineRule="auto"/>
        <w:rPr>
          <w:rFonts w:eastAsia="Times New Roman" w:cs="Arial"/>
        </w:rPr>
      </w:pPr>
      <w:r w:rsidRPr="00DF64BF">
        <w:rPr>
          <w:rFonts w:eastAsia="Times New Roman" w:cs="Arial"/>
        </w:rPr>
        <w:t>The value of the shipment (dollars)</w:t>
      </w:r>
    </w:p>
    <w:p w:rsidR="00E7477C" w:rsidRPr="00DF64BF" w:rsidRDefault="00E7477C" w:rsidP="00983ACD">
      <w:pPr>
        <w:pStyle w:val="ListParagraph"/>
        <w:numPr>
          <w:ilvl w:val="0"/>
          <w:numId w:val="1"/>
        </w:numPr>
        <w:spacing w:after="0" w:line="240" w:lineRule="auto"/>
        <w:rPr>
          <w:rFonts w:eastAsia="Times New Roman" w:cs="Arial"/>
        </w:rPr>
      </w:pPr>
      <w:r w:rsidRPr="00DF64BF">
        <w:rPr>
          <w:rFonts w:eastAsia="Times New Roman" w:cs="Arial"/>
        </w:rPr>
        <w:t>The weight of the shipment (pounds)</w:t>
      </w:r>
    </w:p>
    <w:p w:rsidR="00E7477C" w:rsidRPr="00DF64BF" w:rsidRDefault="00E7477C" w:rsidP="00983ACD">
      <w:pPr>
        <w:pStyle w:val="ListParagraph"/>
        <w:numPr>
          <w:ilvl w:val="0"/>
          <w:numId w:val="1"/>
        </w:numPr>
        <w:spacing w:after="0" w:line="240" w:lineRule="auto"/>
        <w:rPr>
          <w:rFonts w:eastAsia="Times New Roman" w:cs="Arial"/>
        </w:rPr>
      </w:pPr>
      <w:r w:rsidRPr="00DF64BF">
        <w:rPr>
          <w:rFonts w:eastAsia="Times New Roman" w:cs="Arial"/>
        </w:rPr>
        <w:t xml:space="preserve">The great circle distance between the </w:t>
      </w:r>
      <w:r w:rsidR="005114AA" w:rsidRPr="00DF64BF">
        <w:rPr>
          <w:rFonts w:eastAsia="Times New Roman" w:cs="Arial"/>
        </w:rPr>
        <w:t xml:space="preserve">shipment </w:t>
      </w:r>
      <w:r w:rsidRPr="00DF64BF">
        <w:rPr>
          <w:rFonts w:eastAsia="Times New Roman" w:cs="Arial"/>
        </w:rPr>
        <w:t xml:space="preserve">origin and </w:t>
      </w:r>
      <w:r w:rsidR="005114AA" w:rsidRPr="00DF64BF">
        <w:rPr>
          <w:rFonts w:eastAsia="Times New Roman" w:cs="Arial"/>
        </w:rPr>
        <w:t xml:space="preserve">US </w:t>
      </w:r>
      <w:r w:rsidRPr="00DF64BF">
        <w:rPr>
          <w:rFonts w:eastAsia="Times New Roman" w:cs="Arial"/>
        </w:rPr>
        <w:t>destination</w:t>
      </w:r>
      <w:r w:rsidR="007E14D8" w:rsidRPr="00DF64BF">
        <w:rPr>
          <w:rFonts w:eastAsia="Times New Roman" w:cs="Arial"/>
        </w:rPr>
        <w:t xml:space="preserve"> (in miles)</w:t>
      </w:r>
    </w:p>
    <w:p w:rsidR="00E7477C" w:rsidRPr="00DF64BF" w:rsidRDefault="00E7477C" w:rsidP="00983ACD">
      <w:pPr>
        <w:pStyle w:val="ListParagraph"/>
        <w:numPr>
          <w:ilvl w:val="0"/>
          <w:numId w:val="1"/>
        </w:numPr>
        <w:spacing w:after="0" w:line="240" w:lineRule="auto"/>
        <w:rPr>
          <w:rFonts w:eastAsia="Times New Roman" w:cs="Arial"/>
        </w:rPr>
      </w:pPr>
      <w:r w:rsidRPr="00DF64BF">
        <w:rPr>
          <w:rFonts w:eastAsia="Times New Roman" w:cs="Arial"/>
        </w:rPr>
        <w:t xml:space="preserve">The routed </w:t>
      </w:r>
      <w:r w:rsidR="007E14D8" w:rsidRPr="00DF64BF">
        <w:rPr>
          <w:rFonts w:eastAsia="Times New Roman" w:cs="Arial"/>
        </w:rPr>
        <w:t>distance between the shipment origin and US destination</w:t>
      </w:r>
      <w:r w:rsidR="005114AA" w:rsidRPr="00DF64BF">
        <w:rPr>
          <w:rFonts w:eastAsia="Times New Roman" w:cs="Arial"/>
        </w:rPr>
        <w:t xml:space="preserve"> (in miles)</w:t>
      </w:r>
      <w:r w:rsidR="00C5567F" w:rsidRPr="00B165B6">
        <w:rPr>
          <w:rStyle w:val="FootnoteReference"/>
          <w:rFonts w:eastAsia="Times New Roman" w:cs="Arial"/>
        </w:rPr>
        <w:footnoteReference w:id="1"/>
      </w:r>
      <w:bookmarkStart w:id="0" w:name="_GoBack"/>
      <w:bookmarkEnd w:id="0"/>
    </w:p>
    <w:p w:rsidR="007E14D8" w:rsidRPr="00DF64BF" w:rsidRDefault="007E14D8" w:rsidP="00983ACD">
      <w:pPr>
        <w:pStyle w:val="ListParagraph"/>
        <w:numPr>
          <w:ilvl w:val="0"/>
          <w:numId w:val="1"/>
        </w:numPr>
        <w:spacing w:after="0" w:line="240" w:lineRule="auto"/>
        <w:rPr>
          <w:rFonts w:eastAsia="Times New Roman" w:cs="Arial"/>
        </w:rPr>
      </w:pPr>
      <w:r w:rsidRPr="00DF64BF">
        <w:rPr>
          <w:rFonts w:eastAsia="Times New Roman" w:cs="Arial"/>
        </w:rPr>
        <w:t xml:space="preserve">Whether or not the shipment </w:t>
      </w:r>
      <w:r w:rsidR="00FF069E" w:rsidRPr="00DF64BF">
        <w:rPr>
          <w:rFonts w:eastAsia="Times New Roman" w:cs="Arial"/>
        </w:rPr>
        <w:t>required</w:t>
      </w:r>
      <w:r w:rsidRPr="00DF64BF">
        <w:rPr>
          <w:rFonts w:eastAsia="Times New Roman" w:cs="Arial"/>
        </w:rPr>
        <w:t xml:space="preserve"> temperature control </w:t>
      </w:r>
      <w:r w:rsidR="00FF069E" w:rsidRPr="00DF64BF">
        <w:rPr>
          <w:rFonts w:eastAsia="Times New Roman" w:cs="Arial"/>
        </w:rPr>
        <w:t>during transportation</w:t>
      </w:r>
    </w:p>
    <w:p w:rsidR="007E14D8" w:rsidRPr="00DF64BF" w:rsidRDefault="007E14D8" w:rsidP="00983ACD">
      <w:pPr>
        <w:pStyle w:val="ListParagraph"/>
        <w:numPr>
          <w:ilvl w:val="0"/>
          <w:numId w:val="1"/>
        </w:numPr>
        <w:spacing w:after="0" w:line="240" w:lineRule="auto"/>
        <w:rPr>
          <w:rFonts w:eastAsia="Times New Roman" w:cs="Arial"/>
        </w:rPr>
      </w:pPr>
      <w:r w:rsidRPr="00DF64BF">
        <w:rPr>
          <w:rFonts w:eastAsia="Times New Roman" w:cs="Arial"/>
        </w:rPr>
        <w:t>Whether or not the shipment was an export</w:t>
      </w:r>
    </w:p>
    <w:p w:rsidR="00B8643F" w:rsidRPr="00DF64BF" w:rsidRDefault="007E14D8" w:rsidP="00B8643F">
      <w:pPr>
        <w:pStyle w:val="ListParagraph"/>
        <w:numPr>
          <w:ilvl w:val="0"/>
          <w:numId w:val="1"/>
        </w:numPr>
        <w:spacing w:after="0" w:line="240" w:lineRule="auto"/>
        <w:rPr>
          <w:rFonts w:eastAsia="Times New Roman" w:cs="Arial"/>
        </w:rPr>
      </w:pPr>
      <w:r w:rsidRPr="00DF64BF">
        <w:rPr>
          <w:rFonts w:eastAsia="Times New Roman" w:cs="Arial"/>
        </w:rPr>
        <w:t xml:space="preserve">If an export, the </w:t>
      </w:r>
      <w:r w:rsidR="00FF069E" w:rsidRPr="00DF64BF">
        <w:rPr>
          <w:rFonts w:eastAsia="Times New Roman" w:cs="Arial"/>
        </w:rPr>
        <w:t xml:space="preserve">final </w:t>
      </w:r>
      <w:r w:rsidR="008D01A4">
        <w:rPr>
          <w:rFonts w:eastAsia="Times New Roman" w:cs="Arial"/>
        </w:rPr>
        <w:t>export destination country</w:t>
      </w:r>
    </w:p>
    <w:p w:rsidR="007E14D8" w:rsidRPr="00DF64BF" w:rsidRDefault="007E14D8" w:rsidP="00983ACD">
      <w:pPr>
        <w:pStyle w:val="ListParagraph"/>
        <w:numPr>
          <w:ilvl w:val="0"/>
          <w:numId w:val="1"/>
        </w:numPr>
        <w:spacing w:after="0" w:line="240" w:lineRule="auto"/>
        <w:rPr>
          <w:rFonts w:eastAsia="Times New Roman" w:cs="Arial"/>
        </w:rPr>
      </w:pPr>
      <w:r w:rsidRPr="00DF64BF">
        <w:rPr>
          <w:rFonts w:eastAsia="Times New Roman" w:cs="Arial"/>
        </w:rPr>
        <w:t xml:space="preserve">Hazardous material </w:t>
      </w:r>
      <w:r w:rsidR="00FF069E" w:rsidRPr="00DF64BF">
        <w:rPr>
          <w:rFonts w:eastAsia="Times New Roman" w:cs="Arial"/>
        </w:rPr>
        <w:t>code</w:t>
      </w:r>
    </w:p>
    <w:p w:rsidR="00B8643F" w:rsidRPr="00CE304C" w:rsidRDefault="00B8643F" w:rsidP="00B8643F">
      <w:pPr>
        <w:pStyle w:val="ListParagraph"/>
        <w:numPr>
          <w:ilvl w:val="0"/>
          <w:numId w:val="1"/>
        </w:numPr>
        <w:spacing w:after="0" w:line="240" w:lineRule="auto"/>
        <w:rPr>
          <w:rFonts w:eastAsia="Times New Roman" w:cs="Arial"/>
        </w:rPr>
      </w:pPr>
      <w:r w:rsidRPr="00CE304C">
        <w:rPr>
          <w:rFonts w:eastAsia="Times New Roman" w:cs="Arial"/>
        </w:rPr>
        <w:t>Shipment tabulation weighting factor</w:t>
      </w:r>
      <w:r w:rsidR="00A725FB" w:rsidRPr="00CE304C">
        <w:rPr>
          <w:rFonts w:eastAsia="Times New Roman" w:cs="Arial"/>
        </w:rPr>
        <w:t xml:space="preserve"> – </w:t>
      </w:r>
      <w:r w:rsidR="007052E8" w:rsidRPr="00CE304C">
        <w:rPr>
          <w:rFonts w:eastAsia="Times New Roman" w:cs="Arial"/>
        </w:rPr>
        <w:t>used to expand</w:t>
      </w:r>
      <w:r w:rsidR="00A725FB" w:rsidRPr="00CE304C">
        <w:rPr>
          <w:rFonts w:eastAsia="Times New Roman" w:cs="Arial"/>
        </w:rPr>
        <w:t xml:space="preserve"> </w:t>
      </w:r>
      <w:r w:rsidR="007052E8" w:rsidRPr="00CE304C">
        <w:rPr>
          <w:rFonts w:eastAsia="Times New Roman" w:cs="Arial"/>
        </w:rPr>
        <w:t>PUM file (numeric) shipment</w:t>
      </w:r>
      <w:r w:rsidR="00A725FB" w:rsidRPr="00CE304C">
        <w:rPr>
          <w:rFonts w:eastAsia="Times New Roman" w:cs="Arial"/>
        </w:rPr>
        <w:t xml:space="preserve"> data to represent the total population of </w:t>
      </w:r>
      <w:r w:rsidR="00A2275D" w:rsidRPr="00CE304C">
        <w:rPr>
          <w:rFonts w:eastAsia="Times New Roman" w:cs="Arial"/>
        </w:rPr>
        <w:t xml:space="preserve">in-scope U.S. shipments in 2012.  </w:t>
      </w:r>
      <w:r w:rsidR="004264C4" w:rsidRPr="00CE304C">
        <w:rPr>
          <w:rFonts w:eastAsia="Times New Roman" w:cs="Arial"/>
        </w:rPr>
        <w:t xml:space="preserve">This </w:t>
      </w:r>
      <w:r w:rsidR="00705ABA" w:rsidRPr="00CE304C">
        <w:rPr>
          <w:rFonts w:eastAsia="Times New Roman" w:cs="Arial"/>
        </w:rPr>
        <w:t xml:space="preserve">shipment </w:t>
      </w:r>
      <w:r w:rsidR="004264C4" w:rsidRPr="00CE304C">
        <w:rPr>
          <w:rFonts w:eastAsia="Times New Roman" w:cs="Arial"/>
        </w:rPr>
        <w:t>tabulation weighting factor is the product of se</w:t>
      </w:r>
      <w:r w:rsidR="00AC7063" w:rsidRPr="00CE304C">
        <w:rPr>
          <w:rFonts w:eastAsia="Times New Roman" w:cs="Arial"/>
        </w:rPr>
        <w:t>ven different component weights and disclosure avoidance noise factors</w:t>
      </w:r>
      <w:r w:rsidR="004264C4" w:rsidRPr="00CE304C">
        <w:rPr>
          <w:rFonts w:eastAsia="Times New Roman" w:cs="Arial"/>
        </w:rPr>
        <w:t xml:space="preserve">.  </w:t>
      </w:r>
      <w:r w:rsidR="004F4DCB" w:rsidRPr="00CE304C">
        <w:rPr>
          <w:rFonts w:eastAsia="Times New Roman" w:cs="Arial"/>
        </w:rPr>
        <w:t>T</w:t>
      </w:r>
      <w:r w:rsidR="00A2275D" w:rsidRPr="00CE304C">
        <w:rPr>
          <w:rFonts w:eastAsia="Times New Roman" w:cs="Arial"/>
        </w:rPr>
        <w:t xml:space="preserve">he 2012 CFS Survey Methodology at </w:t>
      </w:r>
      <w:hyperlink r:id="rId9" w:history="1">
        <w:r w:rsidR="00A2275D" w:rsidRPr="00CE304C">
          <w:rPr>
            <w:rStyle w:val="Hyperlink"/>
            <w:rFonts w:eastAsia="Times New Roman" w:cs="Arial"/>
          </w:rPr>
          <w:t>www.census.gov/econ/cfs/2012_methodology.html</w:t>
        </w:r>
      </w:hyperlink>
      <w:r w:rsidR="00A2275D" w:rsidRPr="00CE304C">
        <w:rPr>
          <w:rFonts w:eastAsia="Times New Roman" w:cs="Arial"/>
        </w:rPr>
        <w:t xml:space="preserve"> </w:t>
      </w:r>
      <w:r w:rsidR="004F4DCB" w:rsidRPr="00CE304C">
        <w:rPr>
          <w:rFonts w:eastAsia="Times New Roman" w:cs="Arial"/>
        </w:rPr>
        <w:t>describes</w:t>
      </w:r>
      <w:r w:rsidR="004264C4" w:rsidRPr="00CE304C">
        <w:rPr>
          <w:rFonts w:eastAsia="Times New Roman" w:cs="Arial"/>
        </w:rPr>
        <w:t xml:space="preserve"> </w:t>
      </w:r>
      <w:r w:rsidR="004F4DCB" w:rsidRPr="00CE304C">
        <w:rPr>
          <w:rFonts w:eastAsia="Times New Roman" w:cs="Arial"/>
        </w:rPr>
        <w:t>how</w:t>
      </w:r>
      <w:r w:rsidR="004264C4" w:rsidRPr="00CE304C">
        <w:rPr>
          <w:rFonts w:eastAsia="Times New Roman" w:cs="Arial"/>
        </w:rPr>
        <w:t xml:space="preserve"> </w:t>
      </w:r>
      <w:r w:rsidR="004F4DCB" w:rsidRPr="00CE304C">
        <w:rPr>
          <w:rFonts w:eastAsia="Times New Roman" w:cs="Arial"/>
        </w:rPr>
        <w:t xml:space="preserve">the </w:t>
      </w:r>
      <w:r w:rsidR="004264C4" w:rsidRPr="00CE304C">
        <w:rPr>
          <w:rFonts w:eastAsia="Times New Roman" w:cs="Arial"/>
        </w:rPr>
        <w:t>component weights</w:t>
      </w:r>
      <w:r w:rsidR="00F95289" w:rsidRPr="00CE304C">
        <w:rPr>
          <w:rFonts w:eastAsia="Times New Roman" w:cs="Arial"/>
        </w:rPr>
        <w:t xml:space="preserve"> w</w:t>
      </w:r>
      <w:r w:rsidR="004F4DCB" w:rsidRPr="00CE304C">
        <w:rPr>
          <w:rFonts w:eastAsia="Times New Roman" w:cs="Arial"/>
        </w:rPr>
        <w:t>ere</w:t>
      </w:r>
      <w:r w:rsidR="00F95289" w:rsidRPr="00CE304C">
        <w:rPr>
          <w:rFonts w:eastAsia="Times New Roman" w:cs="Arial"/>
        </w:rPr>
        <w:t xml:space="preserve"> calculated</w:t>
      </w:r>
      <w:r w:rsidR="00A2275D" w:rsidRPr="00CE304C">
        <w:rPr>
          <w:rFonts w:eastAsia="Times New Roman" w:cs="Arial"/>
        </w:rPr>
        <w:t>.</w:t>
      </w:r>
      <w:r w:rsidR="00F95289" w:rsidRPr="00CE304C">
        <w:rPr>
          <w:rFonts w:eastAsia="Times New Roman" w:cs="Arial"/>
        </w:rPr>
        <w:t xml:space="preserve">  For this PUM file, </w:t>
      </w:r>
      <w:r w:rsidR="00B1187D" w:rsidRPr="00CE304C">
        <w:rPr>
          <w:rFonts w:eastAsia="Times New Roman" w:cs="Arial"/>
        </w:rPr>
        <w:t xml:space="preserve">further </w:t>
      </w:r>
      <w:r w:rsidR="00F95289" w:rsidRPr="00CE304C">
        <w:rPr>
          <w:rFonts w:eastAsia="Times New Roman" w:cs="Arial"/>
        </w:rPr>
        <w:t xml:space="preserve">adjustments </w:t>
      </w:r>
      <w:r w:rsidR="00B1187D" w:rsidRPr="00CE304C">
        <w:rPr>
          <w:rFonts w:eastAsia="Times New Roman" w:cs="Arial"/>
        </w:rPr>
        <w:t xml:space="preserve">were </w:t>
      </w:r>
      <w:r w:rsidR="00F95289" w:rsidRPr="00CE304C">
        <w:rPr>
          <w:rFonts w:eastAsia="Times New Roman" w:cs="Arial"/>
        </w:rPr>
        <w:t xml:space="preserve">made </w:t>
      </w:r>
      <w:r w:rsidR="00B1187D" w:rsidRPr="00CE304C">
        <w:rPr>
          <w:rFonts w:eastAsia="Times New Roman" w:cs="Arial"/>
        </w:rPr>
        <w:t>to the</w:t>
      </w:r>
      <w:r w:rsidR="00F95289" w:rsidRPr="00CE304C">
        <w:rPr>
          <w:rFonts w:eastAsia="Times New Roman" w:cs="Arial"/>
        </w:rPr>
        <w:t xml:space="preserve"> weighting factor and are described in section 4 below.</w:t>
      </w:r>
    </w:p>
    <w:p w:rsidR="007E14D8" w:rsidRPr="00CE304C" w:rsidRDefault="007E14D8" w:rsidP="00983ACD">
      <w:pPr>
        <w:spacing w:after="0" w:line="240" w:lineRule="auto"/>
        <w:rPr>
          <w:rFonts w:eastAsia="Times New Roman" w:cs="Arial"/>
        </w:rPr>
      </w:pPr>
    </w:p>
    <w:p w:rsidR="00FB3E26" w:rsidRPr="00DF64BF" w:rsidRDefault="00FB3E26" w:rsidP="00FB3E26">
      <w:pPr>
        <w:spacing w:after="0" w:line="240" w:lineRule="auto"/>
        <w:ind w:left="1350" w:hanging="630"/>
        <w:rPr>
          <w:rFonts w:eastAsia="Times New Roman" w:cs="Arial"/>
          <w:i/>
        </w:rPr>
      </w:pPr>
      <w:r w:rsidRPr="00CE304C">
        <w:rPr>
          <w:rFonts w:eastAsia="Times New Roman" w:cs="Arial"/>
          <w:i/>
        </w:rPr>
        <w:t>Note:</w:t>
      </w:r>
      <w:r w:rsidRPr="00CE304C">
        <w:rPr>
          <w:rFonts w:eastAsia="Times New Roman" w:cs="Arial"/>
          <w:i/>
        </w:rPr>
        <w:tab/>
        <w:t xml:space="preserve">The shipment tabulating weighting factor </w:t>
      </w:r>
      <w:r w:rsidR="00995B2A" w:rsidRPr="00CE304C">
        <w:rPr>
          <w:rFonts w:eastAsia="Times New Roman" w:cs="Arial"/>
          <w:i/>
        </w:rPr>
        <w:t xml:space="preserve">(WGT_FACTOR) </w:t>
      </w:r>
      <w:r w:rsidRPr="00CE304C">
        <w:rPr>
          <w:rFonts w:eastAsia="Times New Roman" w:cs="Arial"/>
          <w:i/>
        </w:rPr>
        <w:t xml:space="preserve">assigned to a shipment is also an estimate of the number of shipments </w:t>
      </w:r>
      <w:r w:rsidR="00995B2A" w:rsidRPr="00CE304C">
        <w:rPr>
          <w:rFonts w:eastAsia="Times New Roman" w:cs="Arial"/>
          <w:i/>
        </w:rPr>
        <w:t xml:space="preserve">of the type </w:t>
      </w:r>
      <w:r w:rsidRPr="00CE304C">
        <w:rPr>
          <w:rFonts w:eastAsia="Times New Roman" w:cs="Arial"/>
          <w:i/>
        </w:rPr>
        <w:t>represented by that PUM file shipment</w:t>
      </w:r>
      <w:r w:rsidR="00C8078E" w:rsidRPr="00CE304C">
        <w:rPr>
          <w:rFonts w:eastAsia="Times New Roman" w:cs="Arial"/>
          <w:i/>
        </w:rPr>
        <w:t xml:space="preserve"> record</w:t>
      </w:r>
      <w:r w:rsidR="00F007E8" w:rsidRPr="00CE304C">
        <w:rPr>
          <w:rFonts w:eastAsia="Times New Roman" w:cs="Arial"/>
          <w:i/>
        </w:rPr>
        <w:t xml:space="preserve"> </w:t>
      </w:r>
      <w:r w:rsidR="00F007E8" w:rsidRPr="00CE304C">
        <w:rPr>
          <w:rStyle w:val="FootnoteReference"/>
          <w:rFonts w:eastAsia="Times New Roman" w:cs="Arial"/>
          <w:color w:val="000000" w:themeColor="text1"/>
        </w:rPr>
        <w:footnoteReference w:id="2"/>
      </w:r>
      <w:r w:rsidRPr="00CE304C">
        <w:rPr>
          <w:rFonts w:eastAsia="Times New Roman" w:cs="Arial"/>
          <w:i/>
        </w:rPr>
        <w:t xml:space="preserve">.  Summing the tabulation weighting factors </w:t>
      </w:r>
      <w:r w:rsidR="00995B2A" w:rsidRPr="00CE304C">
        <w:rPr>
          <w:rFonts w:eastAsia="Times New Roman" w:cs="Arial"/>
          <w:i/>
        </w:rPr>
        <w:t xml:space="preserve">of all PUM file shipments going from, say, Ohio to Texas </w:t>
      </w:r>
      <w:r w:rsidRPr="00CE304C">
        <w:rPr>
          <w:rFonts w:eastAsia="Times New Roman" w:cs="Arial"/>
          <w:i/>
        </w:rPr>
        <w:t>will produce an estimate</w:t>
      </w:r>
      <w:r w:rsidR="00995B2A" w:rsidRPr="00CE304C">
        <w:rPr>
          <w:rFonts w:eastAsia="Times New Roman" w:cs="Arial"/>
          <w:i/>
        </w:rPr>
        <w:t xml:space="preserve"> of the </w:t>
      </w:r>
      <w:r w:rsidR="00B70F34" w:rsidRPr="00CE304C">
        <w:rPr>
          <w:rFonts w:eastAsia="Times New Roman" w:cs="Arial"/>
          <w:i/>
        </w:rPr>
        <w:t xml:space="preserve">U.S. </w:t>
      </w:r>
      <w:r w:rsidR="00995B2A" w:rsidRPr="00CE304C">
        <w:rPr>
          <w:rFonts w:eastAsia="Times New Roman" w:cs="Arial"/>
          <w:i/>
        </w:rPr>
        <w:t>total number of shipments travelling that route</w:t>
      </w:r>
      <w:r w:rsidR="00995B2A" w:rsidRPr="00CE304C">
        <w:rPr>
          <w:rFonts w:eastAsia="Times New Roman" w:cs="Arial"/>
        </w:rPr>
        <w:t xml:space="preserve">.  </w:t>
      </w:r>
      <w:r w:rsidR="00527830" w:rsidRPr="00CE304C">
        <w:rPr>
          <w:i/>
          <w:color w:val="000000"/>
        </w:rPr>
        <w:t xml:space="preserve">However, </w:t>
      </w:r>
      <w:r w:rsidR="00C86EA2" w:rsidRPr="00CE304C">
        <w:rPr>
          <w:i/>
          <w:color w:val="000000"/>
        </w:rPr>
        <w:t>the survey respondent determines what constitutes a shipment</w:t>
      </w:r>
      <w:r w:rsidR="00527830" w:rsidRPr="00CE304C">
        <w:rPr>
          <w:i/>
          <w:color w:val="000000"/>
        </w:rPr>
        <w:t xml:space="preserve"> - there are no weight, value, volume, or other limits on the size of a shipment.  The only requirement is that it must have a single destination</w:t>
      </w:r>
      <w:r w:rsidR="000741D1" w:rsidRPr="00CE304C">
        <w:rPr>
          <w:i/>
          <w:color w:val="000000"/>
        </w:rPr>
        <w:t xml:space="preserve"> and require one trip</w:t>
      </w:r>
      <w:r w:rsidR="00527830" w:rsidRPr="00CE304C">
        <w:rPr>
          <w:i/>
          <w:color w:val="000000"/>
        </w:rPr>
        <w:t xml:space="preserve">.  </w:t>
      </w:r>
      <w:r w:rsidR="00255348" w:rsidRPr="00CE304C">
        <w:rPr>
          <w:i/>
          <w:color w:val="000000"/>
        </w:rPr>
        <w:t xml:space="preserve">Single shipments may have multiple pieces or go by multiple vehicles, such as unit trains or truck convoys, but only one destination.  </w:t>
      </w:r>
      <w:r w:rsidR="00527830" w:rsidRPr="00CE304C">
        <w:rPr>
          <w:i/>
          <w:color w:val="000000"/>
        </w:rPr>
        <w:t xml:space="preserve">See the 2012 CFS instruction guide at </w:t>
      </w:r>
      <w:r w:rsidR="00527830" w:rsidRPr="00CE304C">
        <w:rPr>
          <w:i/>
          <w:color w:val="000000"/>
          <w:u w:val="single"/>
        </w:rPr>
        <w:t>www.census.gov/econ/cfs/get_forms.html</w:t>
      </w:r>
      <w:r w:rsidR="00527830" w:rsidRPr="00CE304C">
        <w:rPr>
          <w:i/>
          <w:color w:val="000000"/>
        </w:rPr>
        <w:t xml:space="preserve"> for more information on the guidance given to CFS respondents.</w:t>
      </w:r>
      <w:r w:rsidR="00255348">
        <w:rPr>
          <w:i/>
          <w:color w:val="000000"/>
        </w:rPr>
        <w:t xml:space="preserve"> </w:t>
      </w:r>
    </w:p>
    <w:p w:rsidR="00FB3E26" w:rsidRPr="00DF64BF" w:rsidRDefault="00FB3E26" w:rsidP="008D00EE">
      <w:pPr>
        <w:spacing w:after="0" w:line="240" w:lineRule="auto"/>
        <w:ind w:left="360"/>
        <w:rPr>
          <w:rFonts w:eastAsia="Times New Roman" w:cs="Arial"/>
        </w:rPr>
      </w:pPr>
    </w:p>
    <w:p w:rsidR="00983ACD" w:rsidRPr="00DF64BF" w:rsidRDefault="008D00EE" w:rsidP="008D00EE">
      <w:pPr>
        <w:spacing w:after="0" w:line="240" w:lineRule="auto"/>
        <w:ind w:left="360"/>
        <w:rPr>
          <w:rFonts w:eastAsia="Times New Roman" w:cs="Arial"/>
        </w:rPr>
      </w:pPr>
      <w:r w:rsidRPr="00DF64BF">
        <w:rPr>
          <w:rFonts w:eastAsia="Times New Roman" w:cs="Arial"/>
        </w:rPr>
        <w:t xml:space="preserve">The complete layout </w:t>
      </w:r>
      <w:r w:rsidR="00EA0541" w:rsidRPr="00DF64BF">
        <w:rPr>
          <w:rFonts w:eastAsia="Times New Roman" w:cs="Arial"/>
        </w:rPr>
        <w:t>and description of the variables of</w:t>
      </w:r>
      <w:r w:rsidRPr="00DF64BF">
        <w:rPr>
          <w:rFonts w:eastAsia="Times New Roman" w:cs="Arial"/>
        </w:rPr>
        <w:t xml:space="preserve"> the PUM</w:t>
      </w:r>
      <w:r w:rsidR="003470CC" w:rsidRPr="00DF64BF">
        <w:rPr>
          <w:rFonts w:eastAsia="Times New Roman" w:cs="Arial"/>
        </w:rPr>
        <w:t xml:space="preserve"> file</w:t>
      </w:r>
      <w:r w:rsidR="00983ACD" w:rsidRPr="00DF64BF">
        <w:rPr>
          <w:rFonts w:eastAsia="Times New Roman" w:cs="Arial"/>
        </w:rPr>
        <w:t xml:space="preserve"> is provided in Appendix A. </w:t>
      </w:r>
    </w:p>
    <w:p w:rsidR="008D00EE" w:rsidRPr="00DF64BF" w:rsidRDefault="008D00EE" w:rsidP="008D00EE">
      <w:pPr>
        <w:spacing w:after="0" w:line="240" w:lineRule="auto"/>
        <w:ind w:left="360"/>
        <w:rPr>
          <w:rFonts w:eastAsia="Times New Roman" w:cs="Arial"/>
        </w:rPr>
      </w:pPr>
    </w:p>
    <w:p w:rsidR="00A71584" w:rsidRPr="00DF64BF" w:rsidRDefault="00A71584" w:rsidP="00FB3571">
      <w:pPr>
        <w:pStyle w:val="ListParagraph"/>
        <w:numPr>
          <w:ilvl w:val="0"/>
          <w:numId w:val="4"/>
        </w:numPr>
        <w:spacing w:after="0" w:line="240" w:lineRule="auto"/>
        <w:ind w:left="360"/>
        <w:rPr>
          <w:rFonts w:eastAsia="Times New Roman" w:cs="Arial"/>
          <w:b/>
          <w:sz w:val="24"/>
          <w:szCs w:val="24"/>
        </w:rPr>
      </w:pPr>
      <w:r w:rsidRPr="00DF64BF">
        <w:rPr>
          <w:rFonts w:eastAsia="Times New Roman" w:cs="Arial"/>
          <w:b/>
          <w:sz w:val="24"/>
          <w:szCs w:val="24"/>
        </w:rPr>
        <w:t xml:space="preserve">Differences Between Published </w:t>
      </w:r>
      <w:r w:rsidR="009A131A" w:rsidRPr="00DF64BF">
        <w:rPr>
          <w:rFonts w:eastAsia="Times New Roman" w:cs="Arial"/>
          <w:b/>
          <w:sz w:val="24"/>
          <w:szCs w:val="24"/>
        </w:rPr>
        <w:t>CFS</w:t>
      </w:r>
      <w:r w:rsidRPr="00DF64BF">
        <w:rPr>
          <w:rFonts w:eastAsia="Times New Roman" w:cs="Arial"/>
          <w:b/>
          <w:sz w:val="24"/>
          <w:szCs w:val="24"/>
        </w:rPr>
        <w:t xml:space="preserve"> Estimates and </w:t>
      </w:r>
      <w:r w:rsidR="009A131A" w:rsidRPr="00DF64BF">
        <w:rPr>
          <w:rFonts w:eastAsia="Times New Roman" w:cs="Arial"/>
          <w:b/>
          <w:sz w:val="24"/>
          <w:szCs w:val="24"/>
        </w:rPr>
        <w:t>PUM</w:t>
      </w:r>
      <w:r w:rsidR="003470CC" w:rsidRPr="00DF64BF">
        <w:rPr>
          <w:rFonts w:eastAsia="Times New Roman" w:cs="Arial"/>
          <w:b/>
          <w:sz w:val="24"/>
          <w:szCs w:val="24"/>
        </w:rPr>
        <w:t xml:space="preserve"> </w:t>
      </w:r>
      <w:r w:rsidR="009A131A" w:rsidRPr="00DF64BF">
        <w:rPr>
          <w:rFonts w:eastAsia="Times New Roman" w:cs="Arial"/>
          <w:b/>
          <w:sz w:val="24"/>
          <w:szCs w:val="24"/>
        </w:rPr>
        <w:t>F</w:t>
      </w:r>
      <w:r w:rsidR="003470CC" w:rsidRPr="00DF64BF">
        <w:rPr>
          <w:rFonts w:eastAsia="Times New Roman" w:cs="Arial"/>
          <w:b/>
          <w:sz w:val="24"/>
          <w:szCs w:val="24"/>
        </w:rPr>
        <w:t>ile</w:t>
      </w:r>
      <w:r w:rsidR="009A131A" w:rsidRPr="00DF64BF">
        <w:rPr>
          <w:rFonts w:eastAsia="Times New Roman" w:cs="Arial"/>
          <w:b/>
          <w:sz w:val="24"/>
          <w:szCs w:val="24"/>
        </w:rPr>
        <w:t xml:space="preserve"> Tabulations</w:t>
      </w:r>
      <w:r w:rsidRPr="00DF64BF">
        <w:rPr>
          <w:rFonts w:eastAsia="Times New Roman" w:cs="Arial"/>
          <w:b/>
          <w:sz w:val="24"/>
          <w:szCs w:val="24"/>
        </w:rPr>
        <w:t xml:space="preserve"> </w:t>
      </w:r>
    </w:p>
    <w:p w:rsidR="0088420F" w:rsidRPr="00DF64BF" w:rsidRDefault="0088420F" w:rsidP="00FB3571">
      <w:pPr>
        <w:spacing w:after="0" w:line="240" w:lineRule="auto"/>
        <w:ind w:left="360"/>
        <w:rPr>
          <w:rFonts w:eastAsia="Times New Roman" w:cs="Arial"/>
        </w:rPr>
      </w:pPr>
    </w:p>
    <w:p w:rsidR="00AC6DBA" w:rsidRPr="00DF64BF" w:rsidRDefault="00AC6DBA" w:rsidP="00FB3571">
      <w:pPr>
        <w:spacing w:after="0" w:line="240" w:lineRule="auto"/>
        <w:ind w:left="360"/>
        <w:rPr>
          <w:rFonts w:eastAsia="Times New Roman" w:cs="Arial"/>
          <w:color w:val="000000" w:themeColor="text1"/>
        </w:rPr>
      </w:pPr>
      <w:r w:rsidRPr="00DF64BF">
        <w:rPr>
          <w:rFonts w:eastAsia="Times New Roman" w:cs="Arial"/>
          <w:color w:val="000000" w:themeColor="text1"/>
        </w:rPr>
        <w:t>To protect the confidentiality of CFS respondents, the CFS use</w:t>
      </w:r>
      <w:r w:rsidR="007C2AC9" w:rsidRPr="00DF64BF">
        <w:rPr>
          <w:rFonts w:eastAsia="Times New Roman" w:cs="Arial"/>
          <w:color w:val="000000" w:themeColor="text1"/>
        </w:rPr>
        <w:t>s</w:t>
      </w:r>
      <w:r w:rsidRPr="00DF64BF">
        <w:rPr>
          <w:rFonts w:eastAsia="Times New Roman" w:cs="Arial"/>
          <w:color w:val="000000" w:themeColor="text1"/>
        </w:rPr>
        <w:t xml:space="preserve"> noise-infusion when producing estimates of shipment value and shipment weight.  Details r</w:t>
      </w:r>
      <w:r w:rsidR="00676149" w:rsidRPr="00DF64BF">
        <w:rPr>
          <w:rFonts w:eastAsia="Times New Roman" w:cs="Arial"/>
          <w:color w:val="000000" w:themeColor="text1"/>
        </w:rPr>
        <w:t>elating to this</w:t>
      </w:r>
      <w:r w:rsidRPr="00DF64BF">
        <w:rPr>
          <w:rFonts w:eastAsia="Times New Roman" w:cs="Arial"/>
          <w:color w:val="000000" w:themeColor="text1"/>
        </w:rPr>
        <w:t xml:space="preserve"> disclosure avoidance </w:t>
      </w:r>
      <w:r w:rsidR="00676149" w:rsidRPr="00DF64BF">
        <w:rPr>
          <w:rFonts w:eastAsia="Times New Roman" w:cs="Arial"/>
          <w:color w:val="000000" w:themeColor="text1"/>
        </w:rPr>
        <w:t xml:space="preserve">technique </w:t>
      </w:r>
      <w:r w:rsidRPr="00DF64BF">
        <w:rPr>
          <w:rFonts w:eastAsia="Times New Roman" w:cs="Arial"/>
          <w:color w:val="000000" w:themeColor="text1"/>
        </w:rPr>
        <w:t xml:space="preserve">may be found on the CFS website at </w:t>
      </w:r>
      <w:r w:rsidR="00676149" w:rsidRPr="00DF64BF">
        <w:rPr>
          <w:rFonts w:eastAsia="Times New Roman" w:cs="Arial"/>
          <w:color w:val="000000" w:themeColor="text1"/>
        </w:rPr>
        <w:t>www.</w:t>
      </w:r>
      <w:r w:rsidRPr="00DF64BF">
        <w:rPr>
          <w:rFonts w:eastAsia="Times New Roman" w:cs="Arial"/>
          <w:color w:val="000000" w:themeColor="text1"/>
        </w:rPr>
        <w:t>census.gov/econ/cfs/2012_methodology.html along with information on the survey coverage, sampling, mileage calculation, and estimation methodologies.</w:t>
      </w:r>
    </w:p>
    <w:p w:rsidR="00AC6DBA" w:rsidRPr="00DF64BF" w:rsidRDefault="00AC6DBA" w:rsidP="00FB3571">
      <w:pPr>
        <w:spacing w:after="0" w:line="240" w:lineRule="auto"/>
        <w:ind w:left="360"/>
        <w:rPr>
          <w:rFonts w:eastAsia="Times New Roman" w:cs="Arial"/>
          <w:color w:val="000000" w:themeColor="text1"/>
        </w:rPr>
      </w:pPr>
    </w:p>
    <w:p w:rsidR="00FD7197" w:rsidRPr="00DF64BF" w:rsidRDefault="00FD7197" w:rsidP="00FD7197">
      <w:pPr>
        <w:spacing w:after="0" w:line="240" w:lineRule="auto"/>
        <w:ind w:left="360"/>
        <w:rPr>
          <w:rFonts w:eastAsia="Times New Roman" w:cs="Arial"/>
          <w:color w:val="000000" w:themeColor="text1"/>
        </w:rPr>
      </w:pPr>
      <w:r w:rsidRPr="00DF64BF">
        <w:rPr>
          <w:rFonts w:eastAsia="Times New Roman" w:cs="Arial"/>
          <w:color w:val="000000" w:themeColor="text1"/>
        </w:rPr>
        <w:t xml:space="preserve">For this PUM file, additional measures were taken to protect the confidentiality of the </w:t>
      </w:r>
      <w:r w:rsidR="00EF7550" w:rsidRPr="00DF64BF">
        <w:rPr>
          <w:rFonts w:eastAsia="Times New Roman" w:cs="Arial"/>
          <w:color w:val="000000" w:themeColor="text1"/>
        </w:rPr>
        <w:t xml:space="preserve">data of the </w:t>
      </w:r>
      <w:r w:rsidRPr="00DF64BF">
        <w:rPr>
          <w:rFonts w:eastAsia="Times New Roman" w:cs="Arial"/>
          <w:color w:val="000000" w:themeColor="text1"/>
        </w:rPr>
        <w:t xml:space="preserve">CFS </w:t>
      </w:r>
      <w:r w:rsidR="00EF7550" w:rsidRPr="00DF64BF">
        <w:rPr>
          <w:rFonts w:eastAsia="Times New Roman" w:cs="Arial"/>
          <w:color w:val="000000" w:themeColor="text1"/>
        </w:rPr>
        <w:t>respondents</w:t>
      </w:r>
      <w:r w:rsidRPr="00DF64BF">
        <w:rPr>
          <w:rFonts w:eastAsia="Times New Roman" w:cs="Arial"/>
          <w:color w:val="000000" w:themeColor="text1"/>
        </w:rPr>
        <w:t>.  While implementing these measures</w:t>
      </w:r>
      <w:r w:rsidR="006C3AB5" w:rsidRPr="00DF64BF">
        <w:rPr>
          <w:rFonts w:eastAsia="Times New Roman" w:cs="Arial"/>
          <w:color w:val="000000" w:themeColor="text1"/>
        </w:rPr>
        <w:t>,</w:t>
      </w:r>
      <w:r w:rsidRPr="00DF64BF">
        <w:rPr>
          <w:rFonts w:eastAsia="Times New Roman" w:cs="Arial"/>
          <w:color w:val="000000" w:themeColor="text1"/>
        </w:rPr>
        <w:t xml:space="preserve"> certain </w:t>
      </w:r>
      <w:r w:rsidR="006C3AB5" w:rsidRPr="00DF64BF">
        <w:rPr>
          <w:rFonts w:eastAsia="Times New Roman" w:cs="Arial"/>
          <w:color w:val="000000" w:themeColor="text1"/>
        </w:rPr>
        <w:t xml:space="preserve">desirable properties in the original data were maintained to the extent possible.  </w:t>
      </w:r>
      <w:r w:rsidRPr="00DF64BF">
        <w:rPr>
          <w:rFonts w:eastAsia="Times New Roman" w:cs="Arial"/>
          <w:color w:val="000000" w:themeColor="text1"/>
        </w:rPr>
        <w:t>These were:</w:t>
      </w:r>
    </w:p>
    <w:p w:rsidR="00FD7197" w:rsidRPr="00DF64BF" w:rsidRDefault="00FD7197" w:rsidP="00FD7197">
      <w:pPr>
        <w:spacing w:after="0" w:line="240" w:lineRule="auto"/>
        <w:ind w:left="360"/>
        <w:rPr>
          <w:rFonts w:eastAsia="Times New Roman" w:cs="Arial"/>
          <w:color w:val="000000" w:themeColor="text1"/>
        </w:rPr>
      </w:pPr>
    </w:p>
    <w:p w:rsidR="00FD7197" w:rsidRPr="00DF64BF" w:rsidRDefault="00FD7197" w:rsidP="00FD7197">
      <w:pPr>
        <w:pStyle w:val="ListParagraph"/>
        <w:numPr>
          <w:ilvl w:val="0"/>
          <w:numId w:val="9"/>
        </w:numPr>
        <w:spacing w:after="0" w:line="240" w:lineRule="auto"/>
        <w:ind w:left="720"/>
        <w:rPr>
          <w:rFonts w:eastAsia="Times New Roman" w:cs="Arial"/>
          <w:color w:val="000000" w:themeColor="text1"/>
        </w:rPr>
      </w:pPr>
      <w:r w:rsidRPr="00DF64BF">
        <w:rPr>
          <w:rFonts w:eastAsia="Times New Roman" w:cs="Arial"/>
          <w:color w:val="000000" w:themeColor="text1"/>
        </w:rPr>
        <w:t>Estimates produced from the PUM file would be close to the published ones.</w:t>
      </w:r>
    </w:p>
    <w:p w:rsidR="00FD7197" w:rsidRPr="00DF64BF" w:rsidRDefault="00FD7197" w:rsidP="00FD7197">
      <w:pPr>
        <w:pStyle w:val="ListParagraph"/>
        <w:numPr>
          <w:ilvl w:val="0"/>
          <w:numId w:val="9"/>
        </w:numPr>
        <w:spacing w:after="0" w:line="240" w:lineRule="auto"/>
        <w:ind w:left="720"/>
        <w:rPr>
          <w:rFonts w:eastAsia="Times New Roman" w:cs="Arial"/>
          <w:color w:val="000000" w:themeColor="text1"/>
        </w:rPr>
      </w:pPr>
      <w:r w:rsidRPr="00DF64BF">
        <w:rPr>
          <w:rFonts w:eastAsia="Times New Roman" w:cs="Arial"/>
          <w:color w:val="000000" w:themeColor="text1"/>
        </w:rPr>
        <w:t>The value to weight ratio of individual shipments w</w:t>
      </w:r>
      <w:r w:rsidR="006C3AB5" w:rsidRPr="00DF64BF">
        <w:rPr>
          <w:rFonts w:eastAsia="Times New Roman" w:cs="Arial"/>
          <w:color w:val="000000" w:themeColor="text1"/>
        </w:rPr>
        <w:t>as</w:t>
      </w:r>
      <w:r w:rsidRPr="00DF64BF">
        <w:rPr>
          <w:rFonts w:eastAsia="Times New Roman" w:cs="Arial"/>
          <w:color w:val="000000" w:themeColor="text1"/>
        </w:rPr>
        <w:t xml:space="preserve"> maintained.</w:t>
      </w:r>
    </w:p>
    <w:p w:rsidR="00FD7197" w:rsidRDefault="006C3AB5" w:rsidP="00FD7197">
      <w:pPr>
        <w:pStyle w:val="ListParagraph"/>
        <w:numPr>
          <w:ilvl w:val="0"/>
          <w:numId w:val="9"/>
        </w:numPr>
        <w:spacing w:after="0" w:line="240" w:lineRule="auto"/>
        <w:ind w:left="720"/>
        <w:rPr>
          <w:rFonts w:eastAsia="Times New Roman" w:cs="Arial"/>
          <w:color w:val="000000" w:themeColor="text1"/>
        </w:rPr>
      </w:pPr>
      <w:r w:rsidRPr="00DF64BF">
        <w:rPr>
          <w:rFonts w:eastAsia="Times New Roman" w:cs="Arial"/>
          <w:color w:val="000000" w:themeColor="text1"/>
        </w:rPr>
        <w:lastRenderedPageBreak/>
        <w:t>When the level of detail provided had to be reduced, mode and commodity detail w</w:t>
      </w:r>
      <w:r w:rsidR="00F8631A">
        <w:rPr>
          <w:rFonts w:eastAsia="Times New Roman" w:cs="Arial"/>
          <w:color w:val="000000" w:themeColor="text1"/>
        </w:rPr>
        <w:t>ere</w:t>
      </w:r>
      <w:r w:rsidRPr="00DF64BF">
        <w:rPr>
          <w:rFonts w:eastAsia="Times New Roman" w:cs="Arial"/>
          <w:color w:val="000000" w:themeColor="text1"/>
        </w:rPr>
        <w:t xml:space="preserve"> reduced before geographic detail.</w:t>
      </w:r>
    </w:p>
    <w:p w:rsidR="00705ABA" w:rsidRPr="00DF64BF" w:rsidRDefault="00705ABA" w:rsidP="00705ABA">
      <w:pPr>
        <w:pStyle w:val="ListParagraph"/>
        <w:spacing w:after="0" w:line="240" w:lineRule="auto"/>
        <w:rPr>
          <w:rFonts w:eastAsia="Times New Roman" w:cs="Arial"/>
          <w:color w:val="000000" w:themeColor="text1"/>
        </w:rPr>
      </w:pPr>
    </w:p>
    <w:p w:rsidR="00C943AB" w:rsidRPr="00DF64BF" w:rsidRDefault="00FD7197" w:rsidP="00FB3571">
      <w:pPr>
        <w:spacing w:after="0" w:line="240" w:lineRule="auto"/>
        <w:ind w:left="360"/>
        <w:rPr>
          <w:rFonts w:eastAsia="Times New Roman" w:cs="Arial"/>
          <w:color w:val="000000" w:themeColor="text1"/>
        </w:rPr>
      </w:pPr>
      <w:r w:rsidRPr="00DF64BF">
        <w:rPr>
          <w:rFonts w:eastAsia="Times New Roman" w:cs="Arial"/>
          <w:color w:val="000000" w:themeColor="text1"/>
        </w:rPr>
        <w:t xml:space="preserve">The additional measures </w:t>
      </w:r>
      <w:r w:rsidR="00EF7550" w:rsidRPr="00DF64BF">
        <w:rPr>
          <w:rFonts w:eastAsia="Times New Roman" w:cs="Arial"/>
          <w:color w:val="000000" w:themeColor="text1"/>
        </w:rPr>
        <w:t xml:space="preserve">to protect confidentiality </w:t>
      </w:r>
      <w:r w:rsidRPr="00DF64BF">
        <w:rPr>
          <w:rFonts w:eastAsia="Times New Roman" w:cs="Arial"/>
          <w:color w:val="000000" w:themeColor="text1"/>
        </w:rPr>
        <w:t>were:</w:t>
      </w:r>
      <w:r w:rsidR="00C943AB" w:rsidRPr="00DF64BF">
        <w:rPr>
          <w:rFonts w:eastAsia="Times New Roman" w:cs="Arial"/>
          <w:color w:val="000000" w:themeColor="text1"/>
        </w:rPr>
        <w:t xml:space="preserve"> </w:t>
      </w:r>
    </w:p>
    <w:p w:rsidR="00CC06FE" w:rsidRPr="00DF64BF" w:rsidRDefault="00CC06FE" w:rsidP="00FB3571">
      <w:pPr>
        <w:spacing w:after="0" w:line="240" w:lineRule="auto"/>
        <w:ind w:left="360"/>
        <w:rPr>
          <w:rFonts w:eastAsia="Times New Roman" w:cs="Arial"/>
          <w:color w:val="000000" w:themeColor="text1"/>
        </w:rPr>
      </w:pPr>
    </w:p>
    <w:p w:rsidR="00C943AB" w:rsidRPr="00DF64BF" w:rsidRDefault="00AC6DBA" w:rsidP="000C3D27">
      <w:pPr>
        <w:pStyle w:val="ListParagraph"/>
        <w:numPr>
          <w:ilvl w:val="0"/>
          <w:numId w:val="7"/>
        </w:numPr>
        <w:spacing w:after="0" w:line="240" w:lineRule="auto"/>
        <w:ind w:left="720"/>
        <w:rPr>
          <w:rFonts w:eastAsia="Times New Roman" w:cs="Arial"/>
          <w:color w:val="000000" w:themeColor="text1"/>
        </w:rPr>
      </w:pPr>
      <w:r w:rsidRPr="00DF64BF">
        <w:rPr>
          <w:rFonts w:eastAsia="Times New Roman" w:cs="Arial"/>
          <w:color w:val="000000" w:themeColor="text1"/>
        </w:rPr>
        <w:t>Additional noise wa</w:t>
      </w:r>
      <w:r w:rsidR="00C943AB" w:rsidRPr="00DF64BF">
        <w:rPr>
          <w:rFonts w:eastAsia="Times New Roman" w:cs="Arial"/>
          <w:color w:val="000000" w:themeColor="text1"/>
        </w:rPr>
        <w:t>s applied to the shipment value and weight.</w:t>
      </w:r>
    </w:p>
    <w:p w:rsidR="00C943AB" w:rsidRPr="00DF64BF" w:rsidRDefault="00C943AB" w:rsidP="000C3D27">
      <w:pPr>
        <w:pStyle w:val="ListParagraph"/>
        <w:numPr>
          <w:ilvl w:val="0"/>
          <w:numId w:val="7"/>
        </w:numPr>
        <w:spacing w:after="0" w:line="240" w:lineRule="auto"/>
        <w:ind w:left="720"/>
        <w:rPr>
          <w:rFonts w:eastAsia="Times New Roman" w:cs="Arial"/>
          <w:color w:val="000000" w:themeColor="text1"/>
        </w:rPr>
      </w:pPr>
      <w:r w:rsidRPr="00DF64BF">
        <w:rPr>
          <w:rFonts w:eastAsia="Times New Roman" w:cs="Arial"/>
          <w:color w:val="000000" w:themeColor="text1"/>
        </w:rPr>
        <w:t xml:space="preserve">Extremely large shipment values and weights </w:t>
      </w:r>
      <w:r w:rsidR="00AC6DBA" w:rsidRPr="00DF64BF">
        <w:rPr>
          <w:rFonts w:eastAsia="Times New Roman" w:cs="Arial"/>
          <w:color w:val="000000" w:themeColor="text1"/>
        </w:rPr>
        <w:t>we</w:t>
      </w:r>
      <w:r w:rsidRPr="00DF64BF">
        <w:rPr>
          <w:rFonts w:eastAsia="Times New Roman" w:cs="Arial"/>
          <w:color w:val="000000" w:themeColor="text1"/>
        </w:rPr>
        <w:t>re top</w:t>
      </w:r>
      <w:r w:rsidR="00676149" w:rsidRPr="00DF64BF">
        <w:rPr>
          <w:rFonts w:eastAsia="Times New Roman" w:cs="Arial"/>
          <w:color w:val="000000" w:themeColor="text1"/>
        </w:rPr>
        <w:t>-</w:t>
      </w:r>
      <w:r w:rsidRPr="00DF64BF">
        <w:rPr>
          <w:rFonts w:eastAsia="Times New Roman" w:cs="Arial"/>
          <w:color w:val="000000" w:themeColor="text1"/>
        </w:rPr>
        <w:t>coded.</w:t>
      </w:r>
    </w:p>
    <w:p w:rsidR="00C943AB" w:rsidRPr="00DF64BF" w:rsidRDefault="00C943AB" w:rsidP="000C3D27">
      <w:pPr>
        <w:pStyle w:val="ListParagraph"/>
        <w:numPr>
          <w:ilvl w:val="0"/>
          <w:numId w:val="7"/>
        </w:numPr>
        <w:spacing w:after="0" w:line="240" w:lineRule="auto"/>
        <w:ind w:left="720"/>
        <w:rPr>
          <w:rFonts w:eastAsia="Times New Roman" w:cs="Arial"/>
          <w:color w:val="000000" w:themeColor="text1"/>
        </w:rPr>
      </w:pPr>
      <w:r w:rsidRPr="00DF64BF">
        <w:rPr>
          <w:rFonts w:eastAsia="Times New Roman" w:cs="Arial"/>
          <w:color w:val="000000" w:themeColor="text1"/>
        </w:rPr>
        <w:t xml:space="preserve">Extremely large shipment weighting factors </w:t>
      </w:r>
      <w:r w:rsidR="00AC6DBA" w:rsidRPr="00DF64BF">
        <w:rPr>
          <w:rFonts w:eastAsia="Times New Roman" w:cs="Arial"/>
          <w:color w:val="000000" w:themeColor="text1"/>
        </w:rPr>
        <w:t>we</w:t>
      </w:r>
      <w:r w:rsidRPr="00DF64BF">
        <w:rPr>
          <w:rFonts w:eastAsia="Times New Roman" w:cs="Arial"/>
          <w:color w:val="000000" w:themeColor="text1"/>
        </w:rPr>
        <w:t>re truncated to 975,000.</w:t>
      </w:r>
    </w:p>
    <w:p w:rsidR="00AC6DBA" w:rsidRPr="00DF64BF" w:rsidRDefault="00AC6DBA" w:rsidP="00AC6DBA">
      <w:pPr>
        <w:pStyle w:val="ListParagraph"/>
        <w:spacing w:after="0" w:line="240" w:lineRule="auto"/>
        <w:ind w:hanging="360"/>
        <w:rPr>
          <w:rFonts w:eastAsia="Times New Roman" w:cs="Arial"/>
          <w:color w:val="000000" w:themeColor="text1"/>
        </w:rPr>
      </w:pPr>
    </w:p>
    <w:p w:rsidR="00966E3E" w:rsidRPr="00DF64BF" w:rsidRDefault="00AC6DBA" w:rsidP="00676149">
      <w:pPr>
        <w:pStyle w:val="ListParagraph"/>
        <w:spacing w:after="0" w:line="240" w:lineRule="auto"/>
        <w:ind w:left="1440" w:hanging="720"/>
        <w:rPr>
          <w:rFonts w:eastAsia="Times New Roman" w:cs="Arial"/>
          <w:i/>
          <w:color w:val="000000" w:themeColor="text1"/>
        </w:rPr>
      </w:pPr>
      <w:r w:rsidRPr="00DF64BF">
        <w:rPr>
          <w:rFonts w:eastAsia="Times New Roman" w:cs="Arial"/>
          <w:i/>
          <w:color w:val="000000" w:themeColor="text1"/>
        </w:rPr>
        <w:t xml:space="preserve">Note: </w:t>
      </w:r>
      <w:r w:rsidRPr="00DF64BF">
        <w:rPr>
          <w:rFonts w:eastAsia="Times New Roman" w:cs="Arial"/>
          <w:i/>
          <w:color w:val="000000" w:themeColor="text1"/>
        </w:rPr>
        <w:tab/>
      </w:r>
      <w:r w:rsidR="00796B41" w:rsidRPr="00DF64BF">
        <w:rPr>
          <w:rFonts w:eastAsia="Times New Roman" w:cs="Arial"/>
          <w:i/>
          <w:color w:val="000000" w:themeColor="text1"/>
        </w:rPr>
        <w:t>I</w:t>
      </w:r>
      <w:r w:rsidR="00966E3E" w:rsidRPr="00DF64BF">
        <w:rPr>
          <w:rFonts w:eastAsia="Times New Roman" w:cs="Arial"/>
          <w:i/>
          <w:color w:val="000000" w:themeColor="text1"/>
        </w:rPr>
        <w:t xml:space="preserve">n the three cases </w:t>
      </w:r>
      <w:r w:rsidR="007C285E" w:rsidRPr="00DF64BF">
        <w:rPr>
          <w:rFonts w:eastAsia="Times New Roman" w:cs="Arial"/>
          <w:i/>
          <w:color w:val="000000" w:themeColor="text1"/>
        </w:rPr>
        <w:t xml:space="preserve">above, </w:t>
      </w:r>
      <w:r w:rsidR="00796B41" w:rsidRPr="00DF64BF">
        <w:rPr>
          <w:rFonts w:eastAsia="Times New Roman" w:cs="Arial"/>
          <w:i/>
          <w:color w:val="000000" w:themeColor="text1"/>
        </w:rPr>
        <w:t xml:space="preserve">adjustments were also made to other variables so that </w:t>
      </w:r>
      <w:r w:rsidR="00966E3E" w:rsidRPr="00DF64BF">
        <w:rPr>
          <w:rFonts w:eastAsia="Times New Roman" w:cs="Arial"/>
          <w:i/>
          <w:color w:val="000000" w:themeColor="text1"/>
        </w:rPr>
        <w:t xml:space="preserve">the product of shipment value (or shipment weight) and the weighting factor </w:t>
      </w:r>
      <w:r w:rsidRPr="00DF64BF">
        <w:rPr>
          <w:rFonts w:eastAsia="Times New Roman" w:cs="Arial"/>
          <w:i/>
          <w:color w:val="000000" w:themeColor="text1"/>
        </w:rPr>
        <w:t>for each shipment after these changes is</w:t>
      </w:r>
      <w:r w:rsidR="00966E3E" w:rsidRPr="00DF64BF">
        <w:rPr>
          <w:rFonts w:eastAsia="Times New Roman" w:cs="Arial"/>
          <w:i/>
          <w:color w:val="000000" w:themeColor="text1"/>
        </w:rPr>
        <w:t xml:space="preserve"> approximately equal to the </w:t>
      </w:r>
      <w:r w:rsidRPr="00DF64BF">
        <w:rPr>
          <w:rFonts w:eastAsia="Times New Roman" w:cs="Arial"/>
          <w:i/>
          <w:color w:val="000000" w:themeColor="text1"/>
        </w:rPr>
        <w:t>same product before the changes.</w:t>
      </w:r>
    </w:p>
    <w:p w:rsidR="00966E3E" w:rsidRPr="00DF64BF" w:rsidRDefault="00966E3E" w:rsidP="00AC6DBA">
      <w:pPr>
        <w:pStyle w:val="ListParagraph"/>
        <w:spacing w:after="0" w:line="240" w:lineRule="auto"/>
        <w:ind w:hanging="360"/>
        <w:rPr>
          <w:rFonts w:eastAsia="Times New Roman" w:cs="Arial"/>
          <w:color w:val="000000" w:themeColor="text1"/>
        </w:rPr>
      </w:pPr>
    </w:p>
    <w:p w:rsidR="008242E5" w:rsidRPr="00DF64BF" w:rsidRDefault="003470CC" w:rsidP="000C3D27">
      <w:pPr>
        <w:pStyle w:val="ListParagraph"/>
        <w:numPr>
          <w:ilvl w:val="0"/>
          <w:numId w:val="8"/>
        </w:numPr>
        <w:tabs>
          <w:tab w:val="left" w:pos="720"/>
        </w:tabs>
        <w:spacing w:after="0" w:line="240" w:lineRule="auto"/>
        <w:ind w:left="720"/>
        <w:rPr>
          <w:rFonts w:eastAsia="Times New Roman" w:cs="Arial"/>
          <w:color w:val="000000" w:themeColor="text1"/>
        </w:rPr>
      </w:pPr>
      <w:r w:rsidRPr="00DF64BF">
        <w:rPr>
          <w:rFonts w:eastAsia="Times New Roman" w:cs="Arial"/>
          <w:color w:val="000000" w:themeColor="text1"/>
        </w:rPr>
        <w:t>Shipment value, weight and distance</w:t>
      </w:r>
      <w:r w:rsidR="008242E5" w:rsidRPr="00DF64BF">
        <w:rPr>
          <w:rFonts w:eastAsia="Times New Roman" w:cs="Arial"/>
          <w:color w:val="000000" w:themeColor="text1"/>
        </w:rPr>
        <w:t xml:space="preserve"> quantities were rounded to the nearest integer</w:t>
      </w:r>
      <w:r w:rsidRPr="00DF64BF">
        <w:rPr>
          <w:rFonts w:eastAsia="Times New Roman" w:cs="Arial"/>
          <w:color w:val="000000" w:themeColor="text1"/>
        </w:rPr>
        <w:t>.  Weighting factors were rounded to the nearest tenth</w:t>
      </w:r>
      <w:r w:rsidR="008242E5" w:rsidRPr="00DF64BF">
        <w:rPr>
          <w:rFonts w:eastAsia="Times New Roman" w:cs="Arial"/>
          <w:color w:val="000000" w:themeColor="text1"/>
        </w:rPr>
        <w:t>.</w:t>
      </w:r>
    </w:p>
    <w:p w:rsidR="00A71584" w:rsidRPr="00DF64BF" w:rsidRDefault="00C943AB" w:rsidP="000C3D27">
      <w:pPr>
        <w:pStyle w:val="ListParagraph"/>
        <w:numPr>
          <w:ilvl w:val="0"/>
          <w:numId w:val="8"/>
        </w:numPr>
        <w:tabs>
          <w:tab w:val="left" w:pos="720"/>
        </w:tabs>
        <w:spacing w:after="0" w:line="240" w:lineRule="auto"/>
        <w:ind w:left="720"/>
        <w:rPr>
          <w:rFonts w:eastAsia="Times New Roman" w:cs="Arial"/>
          <w:color w:val="000000" w:themeColor="text1"/>
        </w:rPr>
      </w:pPr>
      <w:r w:rsidRPr="00DF64BF">
        <w:rPr>
          <w:rFonts w:eastAsia="Times New Roman" w:cs="Arial"/>
          <w:color w:val="000000" w:themeColor="text1"/>
        </w:rPr>
        <w:t>For approximately 14,000 shipments, the detail provided</w:t>
      </w:r>
      <w:r w:rsidR="00CC06FE" w:rsidRPr="00DF64BF">
        <w:rPr>
          <w:rFonts w:eastAsia="Times New Roman" w:cs="Arial"/>
          <w:color w:val="000000" w:themeColor="text1"/>
        </w:rPr>
        <w:t xml:space="preserve"> for the origin, commodity, and/</w:t>
      </w:r>
      <w:r w:rsidRPr="00DF64BF">
        <w:rPr>
          <w:rFonts w:eastAsia="Times New Roman" w:cs="Arial"/>
          <w:color w:val="000000" w:themeColor="text1"/>
        </w:rPr>
        <w:t xml:space="preserve">or </w:t>
      </w:r>
      <w:r w:rsidR="00966E3E" w:rsidRPr="00DF64BF">
        <w:rPr>
          <w:rFonts w:eastAsia="Times New Roman" w:cs="Arial"/>
          <w:color w:val="000000" w:themeColor="text1"/>
        </w:rPr>
        <w:t>mode of transportation was reduced</w:t>
      </w:r>
      <w:r w:rsidR="00213B7F" w:rsidRPr="00DF64BF">
        <w:rPr>
          <w:rFonts w:eastAsia="Times New Roman" w:cs="Arial"/>
          <w:color w:val="000000" w:themeColor="text1"/>
        </w:rPr>
        <w:t xml:space="preserve"> or collapsed</w:t>
      </w:r>
      <w:r w:rsidR="00966E3E" w:rsidRPr="00DF64BF">
        <w:rPr>
          <w:rFonts w:eastAsia="Times New Roman" w:cs="Arial"/>
          <w:color w:val="000000" w:themeColor="text1"/>
        </w:rPr>
        <w:t xml:space="preserve">.  For example, </w:t>
      </w:r>
      <w:r w:rsidR="00CC06FE" w:rsidRPr="00DF64BF">
        <w:rPr>
          <w:rFonts w:eastAsia="Times New Roman" w:cs="Arial"/>
          <w:color w:val="000000" w:themeColor="text1"/>
        </w:rPr>
        <w:t>a</w:t>
      </w:r>
      <w:r w:rsidR="00966E3E" w:rsidRPr="00DF64BF">
        <w:rPr>
          <w:rFonts w:eastAsia="Times New Roman" w:cs="Arial"/>
          <w:color w:val="000000" w:themeColor="text1"/>
        </w:rPr>
        <w:t xml:space="preserve"> shipment origin </w:t>
      </w:r>
      <w:r w:rsidR="00CC06FE" w:rsidRPr="00DF64BF">
        <w:rPr>
          <w:rFonts w:eastAsia="Times New Roman" w:cs="Arial"/>
          <w:color w:val="000000" w:themeColor="text1"/>
        </w:rPr>
        <w:t>might have been</w:t>
      </w:r>
      <w:r w:rsidR="00966E3E" w:rsidRPr="00DF64BF">
        <w:rPr>
          <w:rFonts w:eastAsia="Times New Roman" w:cs="Arial"/>
          <w:color w:val="000000" w:themeColor="text1"/>
        </w:rPr>
        <w:t xml:space="preserve"> changed from the Chicago, IL CFS Area to just Illinois.</w:t>
      </w:r>
      <w:r w:rsidR="00A71584" w:rsidRPr="00DF64BF">
        <w:rPr>
          <w:rFonts w:eastAsia="Times New Roman" w:cs="Arial"/>
          <w:color w:val="000000" w:themeColor="text1"/>
        </w:rPr>
        <w:t xml:space="preserve"> </w:t>
      </w:r>
    </w:p>
    <w:p w:rsidR="00E04A47" w:rsidRPr="00DF64BF" w:rsidRDefault="00E04A47" w:rsidP="00B565D7">
      <w:pPr>
        <w:spacing w:after="0" w:line="240" w:lineRule="auto"/>
        <w:ind w:left="360"/>
        <w:rPr>
          <w:rFonts w:eastAsia="Times New Roman" w:cs="Arial"/>
          <w:color w:val="000000" w:themeColor="text1"/>
        </w:rPr>
      </w:pPr>
    </w:p>
    <w:p w:rsidR="00A71584" w:rsidRPr="00DF64BF" w:rsidRDefault="00A71584" w:rsidP="00B565D7">
      <w:pPr>
        <w:spacing w:after="0" w:line="240" w:lineRule="auto"/>
        <w:ind w:left="360"/>
        <w:rPr>
          <w:rFonts w:eastAsia="Times New Roman" w:cs="Arial"/>
          <w:color w:val="000000" w:themeColor="text1"/>
        </w:rPr>
      </w:pPr>
      <w:r w:rsidRPr="00DF64BF">
        <w:rPr>
          <w:rFonts w:eastAsia="Times New Roman" w:cs="Arial"/>
          <w:color w:val="000000" w:themeColor="text1"/>
        </w:rPr>
        <w:t xml:space="preserve">Tables of U.S.-level estimates by </w:t>
      </w:r>
      <w:r w:rsidR="009A131A" w:rsidRPr="00DF64BF">
        <w:rPr>
          <w:rFonts w:eastAsia="Times New Roman" w:cs="Arial"/>
          <w:color w:val="000000" w:themeColor="text1"/>
        </w:rPr>
        <w:t>origin state, commodity, and mode</w:t>
      </w:r>
      <w:r w:rsidRPr="00DF64BF">
        <w:rPr>
          <w:rFonts w:eastAsia="Times New Roman" w:cs="Arial"/>
          <w:color w:val="000000" w:themeColor="text1"/>
        </w:rPr>
        <w:t xml:space="preserve"> comparing published </w:t>
      </w:r>
      <w:r w:rsidR="009A131A" w:rsidRPr="00DF64BF">
        <w:rPr>
          <w:rFonts w:eastAsia="Times New Roman" w:cs="Arial"/>
          <w:color w:val="000000" w:themeColor="text1"/>
        </w:rPr>
        <w:t>CFS data to ta</w:t>
      </w:r>
      <w:r w:rsidR="003470CC" w:rsidRPr="00DF64BF">
        <w:rPr>
          <w:rFonts w:eastAsia="Times New Roman" w:cs="Arial"/>
          <w:color w:val="000000" w:themeColor="text1"/>
        </w:rPr>
        <w:t>bulations created using the PUM file</w:t>
      </w:r>
      <w:r w:rsidR="009A131A" w:rsidRPr="00DF64BF">
        <w:rPr>
          <w:rFonts w:eastAsia="Times New Roman" w:cs="Arial"/>
          <w:color w:val="000000" w:themeColor="text1"/>
        </w:rPr>
        <w:t xml:space="preserve"> are shown in </w:t>
      </w:r>
      <w:r w:rsidRPr="00DF64BF">
        <w:rPr>
          <w:rFonts w:eastAsia="Times New Roman" w:cs="Arial"/>
          <w:color w:val="000000" w:themeColor="text1"/>
        </w:rPr>
        <w:t>Appendix B</w:t>
      </w:r>
      <w:r w:rsidR="009A131A" w:rsidRPr="00DF64BF">
        <w:rPr>
          <w:rFonts w:eastAsia="Times New Roman" w:cs="Arial"/>
          <w:color w:val="000000" w:themeColor="text1"/>
        </w:rPr>
        <w:t>.</w:t>
      </w:r>
    </w:p>
    <w:p w:rsidR="00A71584" w:rsidRPr="00DF64BF" w:rsidRDefault="00A71584" w:rsidP="00B565D7">
      <w:pPr>
        <w:spacing w:after="0" w:line="240" w:lineRule="auto"/>
        <w:ind w:left="360"/>
      </w:pPr>
    </w:p>
    <w:p w:rsidR="00D132D9" w:rsidRPr="00DF64BF" w:rsidRDefault="00833500" w:rsidP="001F599B">
      <w:pPr>
        <w:spacing w:line="240" w:lineRule="auto"/>
        <w:ind w:left="360"/>
      </w:pPr>
      <w:r w:rsidRPr="00DF64BF">
        <w:t xml:space="preserve">Estimates produced using the 2012 CFS PUM file have the same issues with comparability to prior surveys as the published 2012 estimates.  Data users should be cautious when comparing any 2012 estimates with 2007 or earlier CFS estimates.  See the Comparability of Estimates section of the </w:t>
      </w:r>
      <w:r w:rsidR="00A2275D" w:rsidRPr="00DF64BF">
        <w:t xml:space="preserve">2012 </w:t>
      </w:r>
      <w:r w:rsidRPr="00DF64BF">
        <w:t xml:space="preserve">CFS Survey Methodology at </w:t>
      </w:r>
      <w:hyperlink r:id="rId10" w:history="1">
        <w:r w:rsidR="00B70F34" w:rsidRPr="00DF64BF">
          <w:rPr>
            <w:rStyle w:val="Hyperlink"/>
            <w:rFonts w:eastAsia="Times New Roman" w:cs="Arial"/>
          </w:rPr>
          <w:t>www.census.gov/econ/cfs/2012_methodology.html</w:t>
        </w:r>
      </w:hyperlink>
      <w:r w:rsidR="00B70F34" w:rsidRPr="00DF64BF">
        <w:t xml:space="preserve"> for a discussion of these </w:t>
      </w:r>
      <w:r w:rsidR="001F599B" w:rsidRPr="00DF64BF">
        <w:t xml:space="preserve">comparability </w:t>
      </w:r>
      <w:r w:rsidR="00B70F34" w:rsidRPr="00DF64BF">
        <w:t>issues.</w:t>
      </w:r>
    </w:p>
    <w:p w:rsidR="0042025B" w:rsidRPr="00DF64BF" w:rsidRDefault="0042025B" w:rsidP="0042025B">
      <w:pPr>
        <w:spacing w:after="0" w:line="240" w:lineRule="auto"/>
        <w:rPr>
          <w:rFonts w:eastAsia="Times New Roman" w:cs="Arial"/>
          <w:color w:val="000000" w:themeColor="text1"/>
        </w:rPr>
      </w:pPr>
      <w:r w:rsidRPr="00DF64BF">
        <w:rPr>
          <w:b/>
          <w:sz w:val="24"/>
          <w:szCs w:val="24"/>
        </w:rPr>
        <w:t xml:space="preserve">5.   How to Estimate Totals and </w:t>
      </w:r>
      <w:r w:rsidR="005D7AFF" w:rsidRPr="00DF64BF">
        <w:rPr>
          <w:b/>
          <w:sz w:val="24"/>
          <w:szCs w:val="24"/>
        </w:rPr>
        <w:t>Average Miles Per Shipment</w:t>
      </w:r>
      <w:r w:rsidRPr="00DF64BF">
        <w:rPr>
          <w:b/>
          <w:sz w:val="24"/>
          <w:szCs w:val="24"/>
        </w:rPr>
        <w:t xml:space="preserve"> with the PUM File</w:t>
      </w:r>
    </w:p>
    <w:p w:rsidR="0042025B" w:rsidRPr="00DF64BF" w:rsidRDefault="0042025B" w:rsidP="0042025B">
      <w:pPr>
        <w:pStyle w:val="ListParagraph"/>
        <w:spacing w:after="0" w:line="240" w:lineRule="auto"/>
        <w:ind w:left="360"/>
        <w:rPr>
          <w:rFonts w:eastAsia="Times New Roman" w:cs="Arial"/>
          <w:color w:val="000000" w:themeColor="text1"/>
        </w:rPr>
      </w:pPr>
    </w:p>
    <w:p w:rsidR="0042025B" w:rsidRPr="00DF64BF" w:rsidRDefault="0042025B" w:rsidP="00B70F68">
      <w:pPr>
        <w:pStyle w:val="ListParagraph"/>
        <w:numPr>
          <w:ilvl w:val="0"/>
          <w:numId w:val="6"/>
        </w:numPr>
        <w:spacing w:after="0" w:line="240" w:lineRule="auto"/>
        <w:rPr>
          <w:rFonts w:eastAsia="Times New Roman" w:cs="Arial"/>
          <w:b/>
          <w:color w:val="000000" w:themeColor="text1"/>
        </w:rPr>
      </w:pPr>
      <w:r w:rsidRPr="00DF64BF">
        <w:rPr>
          <w:b/>
        </w:rPr>
        <w:t>Total value, total tonnage, and total ton-miles</w:t>
      </w:r>
    </w:p>
    <w:p w:rsidR="0042025B" w:rsidRPr="00DF64BF" w:rsidRDefault="0042025B" w:rsidP="0042025B">
      <w:pPr>
        <w:spacing w:after="0" w:line="240" w:lineRule="auto"/>
        <w:ind w:left="360"/>
        <w:rPr>
          <w:rFonts w:eastAsia="Times New Roman" w:cs="Arial"/>
          <w:color w:val="000000" w:themeColor="text1"/>
        </w:rPr>
      </w:pPr>
    </w:p>
    <w:p w:rsidR="00B66333" w:rsidRPr="00DF64BF" w:rsidRDefault="00B66333" w:rsidP="00B66333">
      <w:pPr>
        <w:spacing w:after="0" w:line="240" w:lineRule="auto"/>
        <w:ind w:left="720"/>
        <w:rPr>
          <w:color w:val="FF0000"/>
        </w:rPr>
      </w:pPr>
      <w:r w:rsidRPr="00DF64BF">
        <w:rPr>
          <w:b/>
          <w:color w:val="FF0000"/>
        </w:rPr>
        <w:t>Important note</w:t>
      </w:r>
      <w:r w:rsidRPr="00DF64BF">
        <w:rPr>
          <w:color w:val="FF0000"/>
        </w:rPr>
        <w:t xml:space="preserve">:  To make estimates of total value, one must multiply the value of the shipment (SHIPMT_VALUE) by the shipment tabulation weighting factor (WGT_FACTOR), before summing.  This same rule applies to making estimates of total tonnage and total ton-miles.  The formulas showing this method are given below.  </w:t>
      </w:r>
    </w:p>
    <w:p w:rsidR="00B66333" w:rsidRPr="00DF64BF" w:rsidRDefault="00B66333" w:rsidP="00B66333">
      <w:pPr>
        <w:spacing w:after="0" w:line="240" w:lineRule="auto"/>
        <w:ind w:left="720"/>
      </w:pPr>
    </w:p>
    <w:p w:rsidR="00370486" w:rsidRPr="00DF64BF" w:rsidRDefault="00370486" w:rsidP="00B70F68">
      <w:pPr>
        <w:spacing w:after="0" w:line="240" w:lineRule="auto"/>
        <w:ind w:left="360" w:firstLine="360"/>
      </w:pPr>
      <w:r w:rsidRPr="00DF64BF">
        <w:t>An estimate of the total value (in dollars) for a given domain is given by</w:t>
      </w:r>
    </w:p>
    <w:p w:rsidR="00370486" w:rsidRPr="00DF64BF" w:rsidRDefault="00370486" w:rsidP="00370486">
      <w:pPr>
        <w:spacing w:after="0" w:line="240" w:lineRule="auto"/>
        <w:ind w:left="360"/>
        <w:rPr>
          <w:rFonts w:eastAsia="Times New Roman" w:cs="Arial"/>
          <w:color w:val="000000" w:themeColor="text1"/>
        </w:rPr>
      </w:pPr>
    </w:p>
    <w:p w:rsidR="00370486" w:rsidRPr="00DF64BF" w:rsidRDefault="00370486" w:rsidP="00B70F68">
      <w:pPr>
        <w:ind w:left="360" w:hanging="360"/>
        <w:rPr>
          <w:rFonts w:eastAsiaTheme="minorEastAsia"/>
        </w:rPr>
      </w:pPr>
      <m:oMathPara>
        <m:oMath>
          <m:r>
            <w:rPr>
              <w:rFonts w:ascii="Cambria Math" w:eastAsiaTheme="minorEastAsia" w:hAnsi="Cambria Math"/>
            </w:rPr>
            <m:t>Total value for a given domain</m:t>
          </m:r>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(WGT_FACTOR</m:t>
                  </m:r>
                </m:e>
                <m:sub>
                  <m:r>
                    <w:rPr>
                      <w:rFonts w:ascii="Cambria Math" w:hAnsi="Cambria Math"/>
                    </w:rPr>
                    <m:t>i</m:t>
                  </m:r>
                </m:sub>
              </m:sSub>
              <m:r>
                <w:rPr>
                  <w:rFonts w:ascii="Cambria Math" w:hAnsi="Cambria Math"/>
                </w:rPr>
                <m:t xml:space="preserve"> </m:t>
              </m:r>
            </m:e>
          </m:nary>
          <m:sSub>
            <m:sSubPr>
              <m:ctrlPr>
                <w:rPr>
                  <w:rFonts w:ascii="Cambria Math" w:hAnsi="Cambria Math"/>
                  <w:i/>
                </w:rPr>
              </m:ctrlPr>
            </m:sSubPr>
            <m:e>
              <m:r>
                <w:rPr>
                  <w:rFonts w:ascii="Cambria Math" w:hAnsi="Cambria Math"/>
                </w:rPr>
                <m:t>×SHIPMT_VALUE</m:t>
              </m:r>
            </m:e>
            <m:sub>
              <m:r>
                <w:rPr>
                  <w:rFonts w:ascii="Cambria Math" w:hAnsi="Cambria Math"/>
                </w:rPr>
                <m:t>i</m:t>
              </m:r>
            </m:sub>
          </m:sSub>
          <m:r>
            <w:rPr>
              <w:rFonts w:ascii="Cambria Math" w:eastAsiaTheme="minorEastAsia" w:hAnsi="Cambria Math"/>
            </w:rPr>
            <m:t xml:space="preserve"> ),</m:t>
          </m:r>
        </m:oMath>
      </m:oMathPara>
    </w:p>
    <w:p w:rsidR="00370486" w:rsidRPr="00DF64BF" w:rsidRDefault="00370486" w:rsidP="00B565D7">
      <w:pPr>
        <w:spacing w:line="240" w:lineRule="auto"/>
        <w:ind w:left="720"/>
        <w:rPr>
          <w:rFonts w:eastAsiaTheme="minorEastAsia"/>
        </w:rPr>
      </w:pPr>
      <w:r w:rsidRPr="00DF64BF">
        <w:t xml:space="preserve">where </w:t>
      </w:r>
      <m:oMath>
        <m:r>
          <w:rPr>
            <w:rFonts w:ascii="Cambria Math" w:hAnsi="Cambria Math"/>
          </w:rPr>
          <m:t>WGT_FACTOR</m:t>
        </m:r>
      </m:oMath>
      <w:r w:rsidRPr="00DF64BF">
        <w:rPr>
          <w:rFonts w:eastAsiaTheme="minorEastAsia"/>
        </w:rPr>
        <w:t xml:space="preserve"> is the shipment tabulation weighting factor, </w:t>
      </w:r>
      <m:oMath>
        <m:r>
          <w:rPr>
            <w:rFonts w:ascii="Cambria Math" w:eastAsiaTheme="minorEastAsia" w:hAnsi="Cambria Math"/>
          </w:rPr>
          <m:t>SHIPMT_VALUE</m:t>
        </m:r>
      </m:oMath>
      <w:r w:rsidRPr="00DF64BF">
        <w:rPr>
          <w:rFonts w:eastAsiaTheme="minorEastAsia"/>
        </w:rPr>
        <w:t xml:space="preserve"> is the value of the shipment, </w:t>
      </w:r>
      <m:oMath>
        <m:r>
          <w:rPr>
            <w:rFonts w:ascii="Cambria Math" w:eastAsiaTheme="minorEastAsia" w:hAnsi="Cambria Math"/>
          </w:rPr>
          <m:t>i</m:t>
        </m:r>
      </m:oMath>
      <w:r w:rsidRPr="00DF64BF">
        <w:rPr>
          <w:rFonts w:eastAsiaTheme="minorEastAsia"/>
        </w:rPr>
        <w:t xml:space="preserve"> indexes the shipments in the given domain, and </w:t>
      </w:r>
      <m:oMath>
        <m:r>
          <w:rPr>
            <w:rFonts w:ascii="Cambria Math" w:eastAsiaTheme="minorEastAsia" w:hAnsi="Cambria Math"/>
          </w:rPr>
          <m:t>n</m:t>
        </m:r>
      </m:oMath>
      <w:r w:rsidRPr="00DF64BF">
        <w:rPr>
          <w:rFonts w:eastAsiaTheme="minorEastAsia"/>
        </w:rPr>
        <w:t xml:space="preserve"> is the number of shipments in the given domain.</w:t>
      </w:r>
    </w:p>
    <w:p w:rsidR="00370486" w:rsidRPr="00DF64BF" w:rsidRDefault="00370486" w:rsidP="00B565D7">
      <w:pPr>
        <w:spacing w:line="240" w:lineRule="auto"/>
        <w:ind w:left="720"/>
        <w:rPr>
          <w:b/>
          <w:i/>
        </w:rPr>
      </w:pPr>
      <w:r w:rsidRPr="00DF64BF">
        <w:rPr>
          <w:rFonts w:eastAsiaTheme="minorEastAsia"/>
        </w:rPr>
        <w:t xml:space="preserve">For example, if we want to estimate the total value of shipments originating in Maryland, then we compute the quantity above using shipments where ORIG_STATE = 24.  </w:t>
      </w:r>
      <w:r w:rsidRPr="00DF64BF">
        <w:rPr>
          <w:rFonts w:eastAsiaTheme="minorEastAsia"/>
          <w:b/>
        </w:rPr>
        <w:t xml:space="preserve">Note that by domain, we do not only mean a geographical domain.  For example, if we want to estimate </w:t>
      </w:r>
      <w:r w:rsidRPr="00DF64BF">
        <w:rPr>
          <w:rFonts w:eastAsiaTheme="minorEastAsia"/>
          <w:b/>
        </w:rPr>
        <w:lastRenderedPageBreak/>
        <w:t>the total value of shipments of basic chemicals, then we compute the quantity above using shipments where SCTG = 20.</w:t>
      </w:r>
    </w:p>
    <w:p w:rsidR="00370486" w:rsidRPr="00DF64BF" w:rsidRDefault="00370486" w:rsidP="0003620E">
      <w:pPr>
        <w:spacing w:after="0" w:line="240" w:lineRule="auto"/>
        <w:ind w:left="720"/>
      </w:pPr>
      <w:r w:rsidRPr="00DF64BF">
        <w:t>Estimates of the total tonnage and total ton</w:t>
      </w:r>
      <w:r w:rsidR="0003620E" w:rsidRPr="00DF64BF">
        <w:t xml:space="preserve">-miles can be made analogously.  </w:t>
      </w:r>
      <w:r w:rsidRPr="00DF64BF">
        <w:t>An estimate of the total tonnage for a given domain is given by</w:t>
      </w:r>
    </w:p>
    <w:p w:rsidR="0003620E" w:rsidRPr="00DF64BF" w:rsidRDefault="0003620E" w:rsidP="0003620E">
      <w:pPr>
        <w:spacing w:after="0" w:line="240" w:lineRule="auto"/>
        <w:ind w:left="720"/>
      </w:pPr>
    </w:p>
    <w:p w:rsidR="00370486" w:rsidRPr="00DF64BF" w:rsidRDefault="00B165B6" w:rsidP="0037048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Total tonnage for a given domain</m:t>
              </m:r>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WGT_FACTOR</m:t>
                      </m:r>
                    </m:e>
                    <m:sub>
                      <m:r>
                        <w:rPr>
                          <w:rFonts w:ascii="Cambria Math" w:hAnsi="Cambria Math"/>
                        </w:rPr>
                        <m:t>i</m:t>
                      </m:r>
                    </m:sub>
                  </m:sSub>
                  <m:r>
                    <w:rPr>
                      <w:rFonts w:ascii="Cambria Math" w:hAnsi="Cambria Math"/>
                    </w:rPr>
                    <m:t xml:space="preserve"> ×</m:t>
                  </m:r>
                </m:e>
              </m:nary>
              <m:r>
                <w:rPr>
                  <w:rFonts w:ascii="Cambria Math" w:hAnsi="Cambria Math"/>
                </w:rPr>
                <m:t>(SHIPMT_WGHT</m:t>
              </m:r>
            </m:e>
            <m:sub>
              <m:r>
                <w:rPr>
                  <w:rFonts w:ascii="Cambria Math" w:eastAsiaTheme="minorEastAsia" w:hAnsi="Cambria Math"/>
                </w:rPr>
                <m:t>i</m:t>
              </m:r>
            </m:sub>
          </m:sSub>
          <m:r>
            <w:rPr>
              <w:rFonts w:ascii="Cambria Math" w:eastAsiaTheme="minorEastAsia" w:hAnsi="Cambria Math"/>
            </w:rPr>
            <m:t>/2000)] ,</m:t>
          </m:r>
        </m:oMath>
      </m:oMathPara>
    </w:p>
    <w:p w:rsidR="00370486" w:rsidRPr="00DF64BF" w:rsidRDefault="00370486" w:rsidP="00B565D7">
      <w:pPr>
        <w:spacing w:line="240" w:lineRule="auto"/>
        <w:ind w:left="720"/>
        <w:rPr>
          <w:rFonts w:eastAsiaTheme="minorEastAsia"/>
        </w:rPr>
      </w:pPr>
      <w:r w:rsidRPr="00DF64BF">
        <w:t xml:space="preserve">where </w:t>
      </w:r>
      <m:oMath>
        <m:r>
          <w:rPr>
            <w:rFonts w:ascii="Cambria Math" w:hAnsi="Cambria Math"/>
          </w:rPr>
          <m:t>WGT_FACTOR</m:t>
        </m:r>
      </m:oMath>
      <w:r w:rsidRPr="00DF64BF">
        <w:rPr>
          <w:rFonts w:eastAsiaTheme="minorEastAsia"/>
        </w:rPr>
        <w:t xml:space="preserve"> is the shipment tabulation weighting factor, </w:t>
      </w:r>
      <m:oMath>
        <m:r>
          <w:rPr>
            <w:rFonts w:ascii="Cambria Math" w:eastAsiaTheme="minorEastAsia" w:hAnsi="Cambria Math"/>
          </w:rPr>
          <m:t>SHIPMT_WGHT</m:t>
        </m:r>
      </m:oMath>
      <w:r w:rsidRPr="00DF64BF">
        <w:rPr>
          <w:rFonts w:eastAsiaTheme="minorEastAsia"/>
        </w:rPr>
        <w:t xml:space="preserve"> is the weight of the shipment, </w:t>
      </w:r>
      <m:oMath>
        <m:r>
          <w:rPr>
            <w:rFonts w:ascii="Cambria Math" w:eastAsiaTheme="minorEastAsia" w:hAnsi="Cambria Math"/>
          </w:rPr>
          <m:t>i</m:t>
        </m:r>
      </m:oMath>
      <w:r w:rsidRPr="00DF64BF">
        <w:rPr>
          <w:rFonts w:eastAsiaTheme="minorEastAsia"/>
        </w:rPr>
        <w:t xml:space="preserve"> indexes the shipments in the given domain, and </w:t>
      </w:r>
      <m:oMath>
        <m:r>
          <w:rPr>
            <w:rFonts w:ascii="Cambria Math" w:eastAsiaTheme="minorEastAsia" w:hAnsi="Cambria Math"/>
          </w:rPr>
          <m:t>n</m:t>
        </m:r>
      </m:oMath>
      <w:r w:rsidRPr="00DF64BF">
        <w:rPr>
          <w:rFonts w:eastAsiaTheme="minorEastAsia"/>
        </w:rPr>
        <w:t xml:space="preserve"> is the number of shipments in the given domain.  (We divide </w:t>
      </w:r>
      <m:oMath>
        <m:r>
          <w:rPr>
            <w:rFonts w:ascii="Cambria Math" w:eastAsiaTheme="minorEastAsia" w:hAnsi="Cambria Math"/>
          </w:rPr>
          <m:t>SHIPMT_WGHT</m:t>
        </m:r>
      </m:oMath>
      <w:r w:rsidRPr="00DF64BF">
        <w:rPr>
          <w:rFonts w:eastAsiaTheme="minorEastAsia"/>
        </w:rPr>
        <w:t xml:space="preserve"> by 2000 since </w:t>
      </w:r>
      <m:oMath>
        <m:r>
          <w:rPr>
            <w:rFonts w:ascii="Cambria Math" w:eastAsiaTheme="minorEastAsia" w:hAnsi="Cambria Math"/>
          </w:rPr>
          <m:t>SHIPMT_WGHT</m:t>
        </m:r>
      </m:oMath>
      <w:r w:rsidRPr="00DF64BF">
        <w:rPr>
          <w:rFonts w:eastAsiaTheme="minorEastAsia"/>
        </w:rPr>
        <w:t xml:space="preserve"> is in pounds.)</w:t>
      </w:r>
    </w:p>
    <w:p w:rsidR="00370486" w:rsidRPr="00DF64BF" w:rsidRDefault="00370486" w:rsidP="00B565D7">
      <w:pPr>
        <w:spacing w:line="240" w:lineRule="auto"/>
        <w:ind w:left="720"/>
      </w:pPr>
      <w:r w:rsidRPr="00DF64BF">
        <w:t>An estimate of the total ton-miles for a given domain is given by</w:t>
      </w:r>
    </w:p>
    <w:p w:rsidR="00370486" w:rsidRPr="00DF64BF" w:rsidRDefault="00370486" w:rsidP="00B565D7">
      <w:pPr>
        <w:spacing w:line="240" w:lineRule="auto"/>
        <w:ind w:left="720"/>
        <w:rPr>
          <w:rFonts w:eastAsiaTheme="minorEastAsia"/>
        </w:rPr>
      </w:pPr>
      <m:oMath>
        <m:r>
          <w:rPr>
            <w:rFonts w:ascii="Cambria Math" w:eastAsiaTheme="minorEastAsia" w:hAnsi="Cambria Math"/>
          </w:rPr>
          <m:t>Total ton</m:t>
        </m:r>
        <m:r>
          <m:rPr>
            <m:nor/>
          </m:rPr>
          <w:rPr>
            <w:rFonts w:ascii="Cambria Math" w:eastAsiaTheme="minorEastAsia" w:hAnsi="Cambria Math"/>
          </w:rPr>
          <m:t>-</m:t>
        </m:r>
        <m:r>
          <w:rPr>
            <w:rFonts w:ascii="Cambria Math" w:eastAsiaTheme="minorEastAsia" w:hAnsi="Cambria Math"/>
          </w:rPr>
          <m:t xml:space="preserve">miles for a given domain= </m:t>
        </m:r>
      </m:oMath>
      <w:r w:rsidRPr="00DF64BF">
        <w:rPr>
          <w:rFonts w:eastAsiaTheme="minorEastAsia"/>
        </w:rPr>
        <w:t xml:space="preserve"> </w:t>
      </w:r>
    </w:p>
    <w:p w:rsidR="00370486" w:rsidRPr="00DF64BF" w:rsidRDefault="00B165B6" w:rsidP="00B70F68">
      <w:pPr>
        <w:ind w:left="720"/>
        <w:rPr>
          <w:rFonts w:eastAsiaTheme="minorEastAsia"/>
        </w:rPr>
      </w:pPr>
      <m:oMathPara>
        <m:oMath>
          <m:sSub>
            <m:sSubPr>
              <m:ctrlPr>
                <w:rPr>
                  <w:rFonts w:ascii="Cambria Math" w:eastAsiaTheme="minorEastAsia" w:hAnsi="Cambria Math"/>
                  <w:i/>
                </w:rPr>
              </m:ctrlPr>
            </m:sSubPr>
            <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[WGT_FACTOR</m:t>
                      </m:r>
                    </m:e>
                    <m:sub>
                      <m:r>
                        <w:rPr>
                          <w:rFonts w:ascii="Cambria Math" w:hAnsi="Cambria Math"/>
                        </w:rPr>
                        <m:t>i</m:t>
                      </m:r>
                    </m:sub>
                  </m:sSub>
                </m:e>
              </m:nary>
              <m:r>
                <w:rPr>
                  <w:rFonts w:ascii="Cambria Math" w:hAnsi="Cambria Math"/>
                </w:rPr>
                <m:t xml:space="preserve"> ×(SHIPMT_WGHT</m:t>
              </m:r>
            </m:e>
            <m:sub>
              <m:r>
                <w:rPr>
                  <w:rFonts w:ascii="Cambria Math" w:eastAsiaTheme="minorEastAsia" w:hAnsi="Cambria Math"/>
                </w:rPr>
                <m:t>i</m:t>
              </m:r>
            </m:sub>
          </m:sSub>
          <m:r>
            <w:rPr>
              <w:rFonts w:ascii="Cambria Math" w:eastAsiaTheme="minorEastAsia" w:hAnsi="Cambria Math"/>
            </w:rPr>
            <m:t>/2000)</m:t>
          </m:r>
          <m:sSub>
            <m:sSubPr>
              <m:ctrlPr>
                <w:rPr>
                  <w:rFonts w:ascii="Cambria Math" w:eastAsiaTheme="minorEastAsia" w:hAnsi="Cambria Math"/>
                  <w:i/>
                </w:rPr>
              </m:ctrlPr>
            </m:sSubPr>
            <m:e>
              <m:r>
                <w:rPr>
                  <w:rFonts w:ascii="Cambria Math" w:eastAsiaTheme="minorEastAsia" w:hAnsi="Cambria Math"/>
                </w:rPr>
                <m:t>×SHIPMT_DIST_ROUTED</m:t>
              </m:r>
            </m:e>
            <m:sub>
              <m:r>
                <w:rPr>
                  <w:rFonts w:ascii="Cambria Math" w:eastAsiaTheme="minorEastAsia" w:hAnsi="Cambria Math"/>
                </w:rPr>
                <m:t>i</m:t>
              </m:r>
            </m:sub>
          </m:sSub>
          <m:r>
            <w:rPr>
              <w:rFonts w:ascii="Cambria Math" w:eastAsiaTheme="minorEastAsia" w:hAnsi="Cambria Math"/>
            </w:rPr>
            <m:t>] ,</m:t>
          </m:r>
        </m:oMath>
      </m:oMathPara>
    </w:p>
    <w:p w:rsidR="00B70F68" w:rsidRPr="00DF64BF" w:rsidRDefault="00370486" w:rsidP="00B565D7">
      <w:pPr>
        <w:spacing w:line="240" w:lineRule="auto"/>
        <w:ind w:left="720"/>
        <w:rPr>
          <w:rFonts w:eastAsiaTheme="minorEastAsia"/>
        </w:rPr>
      </w:pPr>
      <w:r w:rsidRPr="00DF64BF">
        <w:t xml:space="preserve">where </w:t>
      </w:r>
      <m:oMath>
        <m:r>
          <w:rPr>
            <w:rFonts w:ascii="Cambria Math" w:hAnsi="Cambria Math"/>
          </w:rPr>
          <m:t>WGT_FACTOR</m:t>
        </m:r>
      </m:oMath>
      <w:r w:rsidRPr="00DF64BF">
        <w:rPr>
          <w:rFonts w:eastAsiaTheme="minorEastAsia"/>
        </w:rPr>
        <w:t xml:space="preserve"> is the shipment tabulation weighting factor, </w:t>
      </w:r>
      <m:oMath>
        <m:r>
          <w:rPr>
            <w:rFonts w:ascii="Cambria Math" w:eastAsiaTheme="minorEastAsia" w:hAnsi="Cambria Math"/>
          </w:rPr>
          <m:t>SHIPMT_WGHT</m:t>
        </m:r>
      </m:oMath>
      <w:r w:rsidRPr="00DF64BF">
        <w:rPr>
          <w:rFonts w:eastAsiaTheme="minorEastAsia"/>
        </w:rPr>
        <w:t xml:space="preserve"> is the weight of the shipment, </w:t>
      </w:r>
      <m:oMath>
        <m:r>
          <w:rPr>
            <w:rFonts w:ascii="Cambria Math" w:eastAsiaTheme="minorEastAsia" w:hAnsi="Cambria Math"/>
          </w:rPr>
          <m:t>SHIPMT_DIST_ROUTED</m:t>
        </m:r>
      </m:oMath>
      <w:r w:rsidRPr="00DF64BF">
        <w:rPr>
          <w:rFonts w:eastAsiaTheme="minorEastAsia"/>
        </w:rPr>
        <w:t xml:space="preserve"> is the routed distance between the shipment origin and destination, </w:t>
      </w:r>
      <m:oMath>
        <m:r>
          <w:rPr>
            <w:rFonts w:ascii="Cambria Math" w:eastAsiaTheme="minorEastAsia" w:hAnsi="Cambria Math"/>
          </w:rPr>
          <m:t>i</m:t>
        </m:r>
      </m:oMath>
      <w:r w:rsidRPr="00DF64BF">
        <w:rPr>
          <w:rFonts w:eastAsiaTheme="minorEastAsia"/>
        </w:rPr>
        <w:t xml:space="preserve"> indexes the shipments in the given domain, and </w:t>
      </w:r>
      <m:oMath>
        <m:r>
          <w:rPr>
            <w:rFonts w:ascii="Cambria Math" w:eastAsiaTheme="minorEastAsia" w:hAnsi="Cambria Math"/>
          </w:rPr>
          <m:t>n</m:t>
        </m:r>
      </m:oMath>
      <w:r w:rsidRPr="00DF64BF">
        <w:rPr>
          <w:rFonts w:eastAsiaTheme="minorEastAsia"/>
        </w:rPr>
        <w:t xml:space="preserve"> is the number of shipments in the given domain.  (We divide </w:t>
      </w:r>
      <m:oMath>
        <m:r>
          <w:rPr>
            <w:rFonts w:ascii="Cambria Math" w:eastAsiaTheme="minorEastAsia" w:hAnsi="Cambria Math"/>
          </w:rPr>
          <m:t>SHIPMT_WGHT</m:t>
        </m:r>
      </m:oMath>
      <w:r w:rsidRPr="00DF64BF">
        <w:rPr>
          <w:rFonts w:eastAsiaTheme="minorEastAsia"/>
        </w:rPr>
        <w:t xml:space="preserve"> by 2000 since </w:t>
      </w:r>
      <m:oMath>
        <m:r>
          <w:rPr>
            <w:rFonts w:ascii="Cambria Math" w:eastAsiaTheme="minorEastAsia" w:hAnsi="Cambria Math"/>
          </w:rPr>
          <m:t>SHIPMT_WGHT</m:t>
        </m:r>
      </m:oMath>
      <w:r w:rsidRPr="00DF64BF">
        <w:rPr>
          <w:rFonts w:eastAsiaTheme="minorEastAsia"/>
        </w:rPr>
        <w:t xml:space="preserve"> is in pounds.)</w:t>
      </w:r>
    </w:p>
    <w:p w:rsidR="00370486" w:rsidRPr="00DF64BF" w:rsidRDefault="00B70F68" w:rsidP="00B565D7">
      <w:pPr>
        <w:pStyle w:val="ListParagraph"/>
        <w:numPr>
          <w:ilvl w:val="0"/>
          <w:numId w:val="6"/>
        </w:numPr>
        <w:spacing w:line="240" w:lineRule="auto"/>
        <w:rPr>
          <w:b/>
        </w:rPr>
      </w:pPr>
      <w:r w:rsidRPr="00DF64BF">
        <w:rPr>
          <w:b/>
        </w:rPr>
        <w:t>A</w:t>
      </w:r>
      <w:r w:rsidR="00370486" w:rsidRPr="00DF64BF">
        <w:rPr>
          <w:b/>
        </w:rPr>
        <w:t>verage miles per shipment</w:t>
      </w:r>
    </w:p>
    <w:p w:rsidR="00B66333" w:rsidRPr="00DF64BF" w:rsidRDefault="00B66333" w:rsidP="00B565D7">
      <w:pPr>
        <w:spacing w:line="240" w:lineRule="auto"/>
        <w:ind w:left="720"/>
        <w:rPr>
          <w:color w:val="FF0000"/>
        </w:rPr>
      </w:pPr>
      <w:r w:rsidRPr="00DF64BF">
        <w:rPr>
          <w:b/>
          <w:color w:val="FF0000"/>
        </w:rPr>
        <w:t>Important note</w:t>
      </w:r>
      <w:r w:rsidRPr="00DF64BF">
        <w:rPr>
          <w:color w:val="FF0000"/>
        </w:rPr>
        <w:t>:  Similar to the important note above for estimates of total value, total tonnage, and total ton-miles, one must use the shipment tabulation weighting factor (WGT_FACTOR) in making estimates of average miles per shipment, as given by the formula below.</w:t>
      </w:r>
    </w:p>
    <w:p w:rsidR="00370486" w:rsidRPr="00DF64BF" w:rsidRDefault="00370486" w:rsidP="00B565D7">
      <w:pPr>
        <w:spacing w:line="240" w:lineRule="auto"/>
        <w:ind w:left="720"/>
      </w:pPr>
      <w:r w:rsidRPr="00DF64BF">
        <w:t>An estimate of the average miles per shipment for a given domain is given by</w:t>
      </w:r>
    </w:p>
    <w:p w:rsidR="00370486" w:rsidRPr="00DF64BF" w:rsidRDefault="00370486" w:rsidP="00B565D7">
      <w:pPr>
        <w:spacing w:line="240" w:lineRule="auto"/>
        <w:ind w:left="720"/>
        <w:rPr>
          <w:rFonts w:eastAsiaTheme="minorEastAsia"/>
        </w:rPr>
      </w:pPr>
      <m:oMath>
        <m:r>
          <w:rPr>
            <w:rFonts w:ascii="Cambria Math" w:hAnsi="Cambria Math"/>
          </w:rPr>
          <m:t>Average</m:t>
        </m:r>
        <m:r>
          <m:rPr>
            <m:sty m:val="p"/>
          </m:rPr>
          <w:rPr>
            <w:rFonts w:ascii="Cambria Math" w:hAnsi="Cambria Math"/>
          </w:rPr>
          <m:t xml:space="preserve"> </m:t>
        </m:r>
        <m:r>
          <w:rPr>
            <w:rFonts w:ascii="Cambria Math" w:hAnsi="Cambria Math"/>
          </w:rPr>
          <m:t>miles</m:t>
        </m:r>
        <m:r>
          <m:rPr>
            <m:sty m:val="p"/>
          </m:rPr>
          <w:rPr>
            <w:rFonts w:ascii="Cambria Math" w:hAnsi="Cambria Math"/>
          </w:rPr>
          <m:t xml:space="preserve"> </m:t>
        </m:r>
        <m:r>
          <w:rPr>
            <w:rFonts w:ascii="Cambria Math" w:hAnsi="Cambria Math"/>
          </w:rPr>
          <m:t>per</m:t>
        </m:r>
        <m:r>
          <m:rPr>
            <m:sty m:val="p"/>
          </m:rPr>
          <w:rPr>
            <w:rFonts w:ascii="Cambria Math" w:hAnsi="Cambria Math"/>
          </w:rPr>
          <m:t xml:space="preserve"> </m:t>
        </m:r>
        <m:r>
          <w:rPr>
            <w:rFonts w:ascii="Cambria Math" w:hAnsi="Cambria Math"/>
          </w:rPr>
          <m:t>shipment</m:t>
        </m:r>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given</m:t>
        </m:r>
        <m:r>
          <m:rPr>
            <m:sty m:val="p"/>
          </m:rPr>
          <w:rPr>
            <w:rFonts w:ascii="Cambria Math" w:hAnsi="Cambria Math"/>
          </w:rPr>
          <m:t xml:space="preserve"> </m:t>
        </m:r>
        <m:r>
          <w:rPr>
            <w:rFonts w:ascii="Cambria Math" w:hAnsi="Cambria Math"/>
          </w:rPr>
          <m:t>domain</m:t>
        </m:r>
        <m:r>
          <m:rPr>
            <m:sty m:val="p"/>
          </m:rPr>
          <w:rPr>
            <w:rFonts w:ascii="Cambria Math" w:hAnsi="Cambria Math"/>
          </w:rPr>
          <m:t>=</m:t>
        </m:r>
      </m:oMath>
      <w:r w:rsidRPr="00DF64BF">
        <w:t xml:space="preserve"> </w:t>
      </w:r>
    </w:p>
    <w:p w:rsidR="00370486" w:rsidRPr="00DF64BF" w:rsidRDefault="00B165B6" w:rsidP="00B70F68">
      <w:pPr>
        <w:ind w:left="720"/>
        <w:rPr>
          <w:rFonts w:eastAsiaTheme="minorEastAsia"/>
        </w:rPr>
      </w:pPr>
      <m:oMathPara>
        <m:oMath>
          <m:f>
            <m:fPr>
              <m:ctrlPr>
                <w:rPr>
                  <w:rFonts w:ascii="Cambria Math" w:hAnsi="Cambria Math"/>
                  <w:i/>
                </w:rPr>
              </m:ctrlPr>
            </m:fPr>
            <m:num>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(WGT_FACTOR</m:t>
                      </m:r>
                    </m:e>
                    <m:sub>
                      <m:r>
                        <w:rPr>
                          <w:rFonts w:ascii="Cambria Math" w:hAnsi="Cambria Math"/>
                        </w:rPr>
                        <m:t>i</m:t>
                      </m:r>
                    </m:sub>
                  </m:sSub>
                  <m:r>
                    <w:rPr>
                      <w:rFonts w:ascii="Cambria Math" w:hAnsi="Cambria Math"/>
                    </w:rPr>
                    <m:t xml:space="preserve"> ×</m:t>
                  </m:r>
                </m:e>
              </m:nary>
              <m:sSub>
                <m:sSubPr>
                  <m:ctrlPr>
                    <w:rPr>
                      <w:rFonts w:ascii="Cambria Math" w:hAnsi="Cambria Math"/>
                      <w:i/>
                    </w:rPr>
                  </m:ctrlPr>
                </m:sSubPr>
                <m:e>
                  <m:r>
                    <w:rPr>
                      <w:rFonts w:ascii="Cambria Math" w:hAnsi="Cambria Math"/>
                    </w:rPr>
                    <m:t xml:space="preserve"> SHIPMT_DIST_ROUTED</m:t>
                  </m:r>
                </m:e>
                <m:sub>
                  <m:r>
                    <w:rPr>
                      <w:rFonts w:ascii="Cambria Math" w:hAnsi="Cambria Math"/>
                    </w:rPr>
                    <m:t>i</m:t>
                  </m:r>
                </m:sub>
              </m:sSub>
              <m:r>
                <w:rPr>
                  <w:rFonts w:ascii="Cambria Math" w:hAnsi="Cambria Math"/>
                </w:rPr>
                <m:t>)</m:t>
              </m:r>
            </m:num>
            <m:den>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WGT_FACTOR</m:t>
                      </m:r>
                    </m:e>
                    <m:sub>
                      <m:r>
                        <w:rPr>
                          <w:rFonts w:ascii="Cambria Math" w:hAnsi="Cambria Math"/>
                        </w:rPr>
                        <m:t>i</m:t>
                      </m:r>
                    </m:sub>
                  </m:sSub>
                  <m:r>
                    <w:rPr>
                      <w:rFonts w:ascii="Cambria Math" w:hAnsi="Cambria Math"/>
                    </w:rPr>
                    <m:t xml:space="preserve"> </m:t>
                  </m:r>
                </m:e>
              </m:nary>
            </m:den>
          </m:f>
          <m:r>
            <w:rPr>
              <w:rFonts w:ascii="Cambria Math" w:hAnsi="Cambria Math"/>
            </w:rPr>
            <m:t xml:space="preserve"> </m:t>
          </m:r>
          <m:r>
            <w:rPr>
              <w:rFonts w:ascii="Cambria Math" w:eastAsiaTheme="minorEastAsia" w:hAnsi="Cambria Math"/>
            </w:rPr>
            <m:t xml:space="preserve"> ,</m:t>
          </m:r>
        </m:oMath>
      </m:oMathPara>
    </w:p>
    <w:p w:rsidR="00370486" w:rsidRPr="00DF64BF" w:rsidRDefault="00370486" w:rsidP="00B565D7">
      <w:pPr>
        <w:spacing w:line="240" w:lineRule="auto"/>
        <w:ind w:left="720"/>
        <w:rPr>
          <w:rFonts w:eastAsiaTheme="minorEastAsia"/>
        </w:rPr>
      </w:pPr>
      <w:r w:rsidRPr="00DF64BF">
        <w:t xml:space="preserve">where </w:t>
      </w:r>
      <m:oMath>
        <m:r>
          <w:rPr>
            <w:rFonts w:ascii="Cambria Math" w:hAnsi="Cambria Math"/>
          </w:rPr>
          <m:t>WGT_FACTOR</m:t>
        </m:r>
      </m:oMath>
      <w:r w:rsidRPr="00DF64BF">
        <w:rPr>
          <w:rFonts w:eastAsiaTheme="minorEastAsia"/>
        </w:rPr>
        <w:t xml:space="preserve"> is the shipment tabulation weighting factor, </w:t>
      </w:r>
      <m:oMath>
        <m:r>
          <w:rPr>
            <w:rFonts w:ascii="Cambria Math" w:eastAsiaTheme="minorEastAsia" w:hAnsi="Cambria Math"/>
          </w:rPr>
          <m:t>SHIPMT_DIST_ROUTED</m:t>
        </m:r>
      </m:oMath>
      <w:r w:rsidRPr="00DF64BF">
        <w:rPr>
          <w:rFonts w:eastAsiaTheme="minorEastAsia"/>
        </w:rPr>
        <w:t xml:space="preserve"> is the routed distance between the shipment origin and destination, </w:t>
      </w:r>
      <m:oMath>
        <m:r>
          <w:rPr>
            <w:rFonts w:ascii="Cambria Math" w:eastAsiaTheme="minorEastAsia" w:hAnsi="Cambria Math"/>
          </w:rPr>
          <m:t>i</m:t>
        </m:r>
      </m:oMath>
      <w:r w:rsidRPr="00DF64BF">
        <w:rPr>
          <w:rFonts w:eastAsiaTheme="minorEastAsia"/>
        </w:rPr>
        <w:t xml:space="preserve"> indexes the shipments in the given domain, and </w:t>
      </w:r>
      <m:oMath>
        <m:r>
          <w:rPr>
            <w:rFonts w:ascii="Cambria Math" w:eastAsiaTheme="minorEastAsia" w:hAnsi="Cambria Math"/>
          </w:rPr>
          <m:t>n</m:t>
        </m:r>
      </m:oMath>
      <w:r w:rsidRPr="00DF64BF">
        <w:rPr>
          <w:rFonts w:eastAsiaTheme="minorEastAsia"/>
        </w:rPr>
        <w:t xml:space="preserve"> is the number of shipments in the given domain.  </w:t>
      </w:r>
    </w:p>
    <w:p w:rsidR="0042025B" w:rsidRPr="00DF64BF" w:rsidRDefault="005C7D06" w:rsidP="0003620E">
      <w:pPr>
        <w:tabs>
          <w:tab w:val="left" w:pos="1350"/>
        </w:tabs>
        <w:spacing w:line="240" w:lineRule="auto"/>
        <w:ind w:left="1350" w:hanging="630"/>
        <w:rPr>
          <w:i/>
        </w:rPr>
      </w:pPr>
      <w:r w:rsidRPr="00DF64BF">
        <w:rPr>
          <w:i/>
        </w:rPr>
        <w:t>Note:</w:t>
      </w:r>
      <w:r w:rsidRPr="00DF64BF">
        <w:rPr>
          <w:i/>
        </w:rPr>
        <w:tab/>
      </w:r>
      <w:r w:rsidR="00AE102D" w:rsidRPr="00DF64BF">
        <w:rPr>
          <w:i/>
        </w:rPr>
        <w:t>The tables in Appendix B (</w:t>
      </w:r>
      <w:r w:rsidRPr="00DF64BF">
        <w:rPr>
          <w:i/>
        </w:rPr>
        <w:t xml:space="preserve">in the columns under </w:t>
      </w:r>
      <w:r w:rsidR="00AE102D" w:rsidRPr="00DF64BF">
        <w:rPr>
          <w:i/>
        </w:rPr>
        <w:t xml:space="preserve"> </w:t>
      </w:r>
      <w:r w:rsidRPr="00DF64BF">
        <w:rPr>
          <w:i/>
        </w:rPr>
        <w:t>“</w:t>
      </w:r>
      <w:r w:rsidR="00AE102D" w:rsidRPr="00DF64BF">
        <w:rPr>
          <w:i/>
        </w:rPr>
        <w:t>PUM File Tabulations – Weighted</w:t>
      </w:r>
      <w:r w:rsidRPr="00DF64BF">
        <w:rPr>
          <w:i/>
        </w:rPr>
        <w:t>”</w:t>
      </w:r>
      <w:r w:rsidR="00AE102D" w:rsidRPr="00DF64BF">
        <w:rPr>
          <w:i/>
        </w:rPr>
        <w:t>) contain estimates for Mode</w:t>
      </w:r>
      <w:r w:rsidRPr="00DF64BF">
        <w:rPr>
          <w:i/>
        </w:rPr>
        <w:t>s</w:t>
      </w:r>
      <w:r w:rsidR="00AE102D" w:rsidRPr="00DF64BF">
        <w:rPr>
          <w:i/>
        </w:rPr>
        <w:t xml:space="preserve">, </w:t>
      </w:r>
      <w:r w:rsidRPr="00DF64BF">
        <w:rPr>
          <w:i/>
        </w:rPr>
        <w:t>Commodities, and Origin States produced using these formulas.</w:t>
      </w:r>
    </w:p>
    <w:p w:rsidR="00705ABA" w:rsidRDefault="00705ABA">
      <w:pPr>
        <w:rPr>
          <w:b/>
          <w:sz w:val="24"/>
          <w:szCs w:val="24"/>
        </w:rPr>
      </w:pPr>
      <w:r>
        <w:rPr>
          <w:b/>
          <w:sz w:val="24"/>
          <w:szCs w:val="24"/>
        </w:rPr>
        <w:br w:type="page"/>
      </w:r>
    </w:p>
    <w:p w:rsidR="0042025B" w:rsidRPr="00DF64BF" w:rsidRDefault="0042025B" w:rsidP="00B565D7">
      <w:pPr>
        <w:spacing w:line="240" w:lineRule="auto"/>
        <w:rPr>
          <w:b/>
          <w:sz w:val="24"/>
          <w:szCs w:val="24"/>
        </w:rPr>
      </w:pPr>
      <w:r w:rsidRPr="00DF64BF">
        <w:rPr>
          <w:b/>
          <w:sz w:val="24"/>
          <w:szCs w:val="24"/>
        </w:rPr>
        <w:lastRenderedPageBreak/>
        <w:t>6.   How to Estimate Coefficients of Variation (CVs) with the PUM File</w:t>
      </w:r>
    </w:p>
    <w:p w:rsidR="00370486" w:rsidRPr="00DF64BF" w:rsidRDefault="00B70F68" w:rsidP="00B565D7">
      <w:pPr>
        <w:spacing w:line="240" w:lineRule="auto"/>
        <w:ind w:left="360"/>
        <w:rPr>
          <w:b/>
        </w:rPr>
      </w:pPr>
      <w:r w:rsidRPr="00DF64BF">
        <w:rPr>
          <w:b/>
        </w:rPr>
        <w:t>a.</w:t>
      </w:r>
      <w:r w:rsidRPr="00DF64BF">
        <w:rPr>
          <w:b/>
        </w:rPr>
        <w:tab/>
      </w:r>
      <w:r w:rsidR="00370486" w:rsidRPr="00DF64BF">
        <w:rPr>
          <w:b/>
        </w:rPr>
        <w:t>Motivation and basic idea of the generalized variance function (GVF) method</w:t>
      </w:r>
    </w:p>
    <w:p w:rsidR="00370486" w:rsidRPr="00DF64BF" w:rsidRDefault="00370486" w:rsidP="00B565D7">
      <w:pPr>
        <w:spacing w:line="240" w:lineRule="auto"/>
        <w:ind w:left="720"/>
      </w:pPr>
      <w:r w:rsidRPr="00DF64BF">
        <w:t xml:space="preserve">We developed a generalized variance function (GVF) method to allow users to compute coefficients of variation (CVs) of estimates made with the PUM file.  This is necessary because, due to confidentiality concerns, we are not able to place the information on the PUM file that would allow users to compute CVs by the random groups method.  (The random groups method is used to compute the CVs of the estimates that are released to the public.)  </w:t>
      </w:r>
    </w:p>
    <w:p w:rsidR="00370486" w:rsidRPr="00DF64BF" w:rsidRDefault="00370486" w:rsidP="00B565D7">
      <w:pPr>
        <w:spacing w:line="240" w:lineRule="auto"/>
        <w:ind w:left="720"/>
      </w:pPr>
      <w:r w:rsidRPr="00DF64BF">
        <w:t>The basic idea of the GVF method is to find a function (which is called the GVF) that expresses the CVs in terms of quantities that can be computed with the PUM file and unknown parameters.  This function is then incorporated into a linear regression model, in which the CV computed by the random groups method is the outcome variable, the quantities that can be computed with the PUM file are the covariates, and the unknown parameters are regression coefficients.  The regression coefficients are estimated by the Census Bureau, and supplied to the users.  Then, with the quantities that can be computed with the PUM file, and with the estimates of the regression coefficients, users can compute CVs.</w:t>
      </w:r>
    </w:p>
    <w:p w:rsidR="00370486" w:rsidRPr="00DF64BF" w:rsidRDefault="00B70F68" w:rsidP="00B565D7">
      <w:pPr>
        <w:pStyle w:val="ListParagraph"/>
        <w:spacing w:line="240" w:lineRule="auto"/>
        <w:ind w:hanging="360"/>
        <w:rPr>
          <w:b/>
        </w:rPr>
      </w:pPr>
      <w:r w:rsidRPr="00DF64BF">
        <w:rPr>
          <w:b/>
        </w:rPr>
        <w:t>b.</w:t>
      </w:r>
      <w:r w:rsidRPr="00DF64BF">
        <w:rPr>
          <w:b/>
        </w:rPr>
        <w:tab/>
      </w:r>
      <w:r w:rsidR="003A4552" w:rsidRPr="00DF64BF">
        <w:rPr>
          <w:b/>
        </w:rPr>
        <w:t>Computing CVs for t</w:t>
      </w:r>
      <w:r w:rsidR="00370486" w:rsidRPr="00DF64BF">
        <w:rPr>
          <w:b/>
        </w:rPr>
        <w:t>otal value, total tonnage, and total ton-miles</w:t>
      </w:r>
    </w:p>
    <w:p w:rsidR="00370486" w:rsidRPr="00DF64BF" w:rsidRDefault="00370486" w:rsidP="00B565D7">
      <w:pPr>
        <w:spacing w:line="240" w:lineRule="auto"/>
        <w:ind w:left="720"/>
      </w:pPr>
      <w:r w:rsidRPr="00DF64BF">
        <w:t xml:space="preserve">For estimates of total value, total tonnage, and total ton-miles, the GVF is </w:t>
      </w:r>
    </w:p>
    <w:p w:rsidR="00370486" w:rsidRPr="00DF64BF" w:rsidRDefault="00370486" w:rsidP="00B70F68">
      <w:pPr>
        <w:ind w:left="360"/>
        <w:rPr>
          <w:rFonts w:eastAsiaTheme="minorEastAsia"/>
        </w:rPr>
      </w:pPr>
      <m:oMathPara>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total</m:t>
              </m:r>
            </m:sub>
          </m:sSub>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 xml:space="preserve">+c </m:t>
          </m:r>
          <m:sSup>
            <m:sSupPr>
              <m:ctrlPr>
                <w:rPr>
                  <w:rFonts w:ascii="Cambria Math" w:hAnsi="Cambria Math"/>
                  <w:i/>
                </w:rPr>
              </m:ctrlPr>
            </m:sSup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e>
            <m:sup>
              <m:r>
                <w:rPr>
                  <w:rFonts w:ascii="Cambria Math" w:hAnsi="Cambria Math"/>
                </w:rPr>
                <m:t>2</m:t>
              </m:r>
            </m:sup>
          </m:sSup>
          <m:r>
            <w:rPr>
              <w:rFonts w:ascii="Cambria Math" w:hAnsi="Cambria Math"/>
            </w:rPr>
            <m:t xml:space="preserve"> ,</m:t>
          </m:r>
        </m:oMath>
      </m:oMathPara>
    </w:p>
    <w:p w:rsidR="00370486" w:rsidRPr="00DF64BF" w:rsidRDefault="00370486" w:rsidP="00B565D7">
      <w:pPr>
        <w:spacing w:line="240" w:lineRule="auto"/>
        <w:ind w:left="720"/>
        <w:rPr>
          <w:rFonts w:eastAsiaTheme="minorEastAsia"/>
        </w:rPr>
      </w:pPr>
      <w:r w:rsidRPr="00DF64BF">
        <w:rPr>
          <w:rFonts w:eastAsiaTheme="minorEastAsia"/>
        </w:rPr>
        <w:t xml:space="preserve">where ln is the natural log (i.e., log to the base e), </w:t>
      </w:r>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total</m:t>
            </m:r>
          </m:sub>
        </m:sSub>
      </m:oMath>
      <w:r w:rsidRPr="00DF64BF">
        <w:rPr>
          <w:rFonts w:eastAsiaTheme="minorEastAsia"/>
        </w:rPr>
        <w:t xml:space="preserve">  is the CV (expressed as a percent) of the estimate of the total, </w:t>
      </w:r>
      <m:oMath>
        <m:r>
          <w:rPr>
            <w:rFonts w:ascii="Cambria Math" w:eastAsiaTheme="minorEastAsia" w:hAnsi="Cambria Math"/>
          </w:rPr>
          <m:t>n</m:t>
        </m:r>
      </m:oMath>
      <w:r w:rsidRPr="00DF64BF">
        <w:t xml:space="preserve"> is the number of shipments that were used to compute the estimate, and</w:t>
      </w:r>
      <w:r w:rsidRPr="00DF64BF">
        <w:rPr>
          <w:rFonts w:eastAsiaTheme="minorEastAsia"/>
        </w:rPr>
        <w:t xml:space="preserve"> </w:t>
      </w:r>
      <m:oMath>
        <m:r>
          <w:rPr>
            <w:rFonts w:ascii="Cambria Math" w:hAnsi="Cambria Math"/>
          </w:rPr>
          <m:t xml:space="preserve">a, b, </m:t>
        </m:r>
        <m:r>
          <m:rPr>
            <m:nor/>
          </m:rPr>
          <w:rPr>
            <w:rFonts w:ascii="Cambria Math" w:hAnsi="Cambria Math"/>
          </w:rPr>
          <m:t xml:space="preserve">and </m:t>
        </m:r>
        <m:r>
          <w:rPr>
            <w:rFonts w:ascii="Cambria Math" w:hAnsi="Cambria Math"/>
          </w:rPr>
          <m:t>c</m:t>
        </m:r>
      </m:oMath>
      <w:r w:rsidRPr="00DF64BF">
        <w:t xml:space="preserve"> are regression coefficients</w:t>
      </w:r>
      <w:r w:rsidR="00334C7B" w:rsidRPr="00DF64BF">
        <w:t xml:space="preserve"> found in table 1 below</w:t>
      </w:r>
      <w:r w:rsidRPr="00DF64BF">
        <w:t>.</w:t>
      </w:r>
      <w:r w:rsidRPr="00DF64BF">
        <w:rPr>
          <w:rFonts w:eastAsiaTheme="minorEastAsia"/>
        </w:rPr>
        <w:t xml:space="preserve">   </w:t>
      </w:r>
    </w:p>
    <w:p w:rsidR="00370486" w:rsidRPr="00DF64BF" w:rsidRDefault="00370486" w:rsidP="00B565D7">
      <w:pPr>
        <w:spacing w:line="240" w:lineRule="auto"/>
        <w:ind w:left="720"/>
      </w:pPr>
      <w:r w:rsidRPr="00DF64BF">
        <w:t>Therefore, in order to compute the CV of an estimate of a total, compute:</w:t>
      </w:r>
    </w:p>
    <w:p w:rsidR="00370486" w:rsidRPr="00DF64BF" w:rsidRDefault="00B165B6" w:rsidP="00B70F68">
      <w:pPr>
        <w:ind w:left="360"/>
        <w:jc w:val="center"/>
      </w:pPr>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total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r>
                      <w:rPr>
                        <w:rFonts w:ascii="Cambria Math" w:hAnsi="Cambria Math"/>
                      </w:rPr>
                      <m:t>n</m:t>
                    </m:r>
                  </m:e>
                </m:d>
              </m:e>
            </m:func>
            <m:r>
              <w:rPr>
                <w:rFonts w:ascii="Cambria Math" w:hAnsi="Cambria Math"/>
              </w:rPr>
              <m:t xml:space="preserve">+c </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e>
                </m:d>
              </m:e>
              <m:sup>
                <m:r>
                  <w:rPr>
                    <w:rFonts w:ascii="Cambria Math" w:hAnsi="Cambria Math"/>
                  </w:rPr>
                  <m:t>2</m:t>
                </m:r>
              </m:sup>
            </m:sSup>
          </m:sup>
        </m:sSup>
      </m:oMath>
      <w:r w:rsidR="00370486" w:rsidRPr="00DF64BF">
        <w:rPr>
          <w:rFonts w:eastAsiaTheme="minorEastAsia"/>
        </w:rPr>
        <w:t>.</w:t>
      </w:r>
    </w:p>
    <w:p w:rsidR="00370486" w:rsidRPr="00DF64BF" w:rsidRDefault="0003620E" w:rsidP="0003620E">
      <w:pPr>
        <w:spacing w:line="240" w:lineRule="auto"/>
        <w:ind w:left="1350" w:hanging="630"/>
        <w:rPr>
          <w:b/>
        </w:rPr>
      </w:pPr>
      <w:r w:rsidRPr="00DF64BF">
        <w:rPr>
          <w:b/>
          <w:i/>
        </w:rPr>
        <w:t>Note:</w:t>
      </w:r>
      <w:r w:rsidRPr="00DF64BF">
        <w:rPr>
          <w:b/>
          <w:i/>
        </w:rPr>
        <w:tab/>
      </w:r>
      <w:r w:rsidR="00370486" w:rsidRPr="00DF64BF">
        <w:rPr>
          <w:b/>
          <w:i/>
        </w:rPr>
        <w:t>Choose a, b, and c from Table 1 below, depending on which type of total is being estimated</w:t>
      </w:r>
      <w:r w:rsidR="00370486" w:rsidRPr="00DF64BF">
        <w:rPr>
          <w:b/>
        </w:rPr>
        <w:t>.</w:t>
      </w:r>
    </w:p>
    <w:p w:rsidR="00370486" w:rsidRPr="00DF64BF" w:rsidRDefault="00370486" w:rsidP="00B565D7">
      <w:pPr>
        <w:pStyle w:val="ListParagraph"/>
        <w:numPr>
          <w:ilvl w:val="0"/>
          <w:numId w:val="6"/>
        </w:numPr>
        <w:spacing w:line="240" w:lineRule="auto"/>
        <w:rPr>
          <w:b/>
        </w:rPr>
      </w:pPr>
      <w:r w:rsidRPr="00DF64BF">
        <w:rPr>
          <w:b/>
        </w:rPr>
        <w:t>Example of computing the CV of an estimate of total value</w:t>
      </w:r>
    </w:p>
    <w:p w:rsidR="00370486" w:rsidRPr="00DF64BF" w:rsidRDefault="00370486" w:rsidP="00B565D7">
      <w:pPr>
        <w:spacing w:line="240" w:lineRule="auto"/>
        <w:ind w:left="720"/>
        <w:rPr>
          <w:rFonts w:eastAsiaTheme="minorEastAsia"/>
        </w:rPr>
      </w:pPr>
      <w:r w:rsidRPr="00DF64BF">
        <w:t xml:space="preserve">Suppose we want to compute the CV of the estimate of the total value of shipments originating in Maryland.  The number of shipments originating in Maryland is 71,425, and we need to choose </w:t>
      </w:r>
      <m:oMath>
        <m:r>
          <w:rPr>
            <w:rFonts w:ascii="Cambria Math" w:hAnsi="Cambria Math"/>
          </w:rPr>
          <m:t xml:space="preserve">a, b, </m:t>
        </m:r>
        <m:r>
          <m:rPr>
            <m:nor/>
          </m:rPr>
          <w:rPr>
            <w:rFonts w:ascii="Cambria Math" w:hAnsi="Cambria Math"/>
          </w:rPr>
          <m:t xml:space="preserve">and </m:t>
        </m:r>
        <m:r>
          <w:rPr>
            <w:rFonts w:ascii="Cambria Math" w:hAnsi="Cambria Math"/>
          </w:rPr>
          <m:t>c</m:t>
        </m:r>
      </m:oMath>
      <w:r w:rsidRPr="00DF64BF">
        <w:rPr>
          <w:rFonts w:eastAsiaTheme="minorEastAsia"/>
        </w:rPr>
        <w:t xml:space="preserve"> from the first row of Table 1 below.  So the CV is</w:t>
      </w:r>
      <w:r w:rsidR="005F064C" w:rsidRPr="00DF64BF">
        <w:rPr>
          <w:rFonts w:eastAsiaTheme="minorEastAsia"/>
        </w:rPr>
        <w:t>:</w:t>
      </w:r>
    </w:p>
    <w:p w:rsidR="00370486" w:rsidRPr="00DF64BF" w:rsidRDefault="00B165B6" w:rsidP="00370486">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total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3.844+0.039</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r>
                        <w:rPr>
                          <w:rFonts w:ascii="Cambria Math" w:hAnsi="Cambria Math"/>
                        </w:rPr>
                        <m:t>71,425</m:t>
                      </m:r>
                    </m:e>
                  </m:d>
                  <m:r>
                    <w:rPr>
                      <w:rFonts w:ascii="Cambria Math" w:hAnsi="Cambria Math"/>
                    </w:rPr>
                    <m:t xml:space="preserve"> -</m:t>
                  </m:r>
                </m:e>
              </m:func>
              <m:r>
                <w:rPr>
                  <w:rFonts w:ascii="Cambria Math" w:hAnsi="Cambria Math"/>
                </w:rPr>
                <m:t xml:space="preserve">0.020 </m:t>
              </m:r>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71,425</m:t>
                              </m:r>
                            </m:e>
                          </m:d>
                        </m:e>
                      </m:func>
                    </m:e>
                  </m:d>
                </m:e>
                <m:sup>
                  <m:r>
                    <w:rPr>
                      <w:rFonts w:ascii="Cambria Math" w:hAnsi="Cambria Math"/>
                    </w:rPr>
                    <m:t>2</m:t>
                  </m:r>
                </m:sup>
              </m:sSup>
            </m:sup>
          </m:sSup>
          <m:r>
            <w:rPr>
              <w:rFonts w:ascii="Cambria Math" w:hAnsi="Cambria Math"/>
            </w:rPr>
            <m:t>=5.94% .</m:t>
          </m:r>
        </m:oMath>
      </m:oMathPara>
    </w:p>
    <w:p w:rsidR="008D4A2E" w:rsidRPr="00DF64BF" w:rsidRDefault="008D4A2E" w:rsidP="0059648A">
      <w:pPr>
        <w:pStyle w:val="ListParagraph"/>
        <w:spacing w:after="0"/>
        <w:rPr>
          <w:b/>
          <w:sz w:val="16"/>
          <w:szCs w:val="16"/>
        </w:rPr>
      </w:pPr>
    </w:p>
    <w:p w:rsidR="00370486" w:rsidRPr="00DF64BF" w:rsidRDefault="003A4552" w:rsidP="003A4552">
      <w:pPr>
        <w:pStyle w:val="ListParagraph"/>
        <w:numPr>
          <w:ilvl w:val="0"/>
          <w:numId w:val="6"/>
        </w:numPr>
        <w:rPr>
          <w:b/>
        </w:rPr>
      </w:pPr>
      <w:r w:rsidRPr="00DF64BF">
        <w:rPr>
          <w:b/>
        </w:rPr>
        <w:t>Computing CVs for a</w:t>
      </w:r>
      <w:r w:rsidR="00370486" w:rsidRPr="00DF64BF">
        <w:rPr>
          <w:b/>
        </w:rPr>
        <w:t>verage miles per shipment</w:t>
      </w:r>
      <w:r w:rsidR="0094698A" w:rsidRPr="00DF64BF">
        <w:rPr>
          <w:b/>
        </w:rPr>
        <w:t xml:space="preserve"> (AMPS)</w:t>
      </w:r>
    </w:p>
    <w:p w:rsidR="00370486" w:rsidRPr="00DF64BF" w:rsidRDefault="00370486" w:rsidP="003A4552">
      <w:pPr>
        <w:ind w:left="360" w:firstLine="360"/>
      </w:pPr>
      <w:r w:rsidRPr="00DF64BF">
        <w:t xml:space="preserve">For estimates of average miles per shipment, the GVF is </w:t>
      </w:r>
    </w:p>
    <w:p w:rsidR="00370486" w:rsidRPr="00DF64BF" w:rsidRDefault="00B165B6" w:rsidP="00370486">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CV</m:t>
                      </m:r>
                    </m:e>
                    <m:sub>
                      <m:r>
                        <w:rPr>
                          <w:rFonts w:ascii="Cambria Math" w:hAnsi="Cambria Math"/>
                        </w:rPr>
                        <m:t>average miles per shipment</m:t>
                      </m:r>
                    </m:sub>
                  </m:sSub>
                </m:e>
              </m:d>
            </m:e>
          </m:func>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 xml:space="preserve">+c </m:t>
          </m:r>
          <m:r>
            <m:rPr>
              <m:sty m:val="p"/>
            </m:rPr>
            <w:rPr>
              <w:rFonts w:ascii="Cambria Math" w:hAnsi="Cambria Math"/>
            </w:rPr>
            <m:t>ln⁡</m:t>
          </m:r>
          <m:r>
            <w:rPr>
              <w:rFonts w:ascii="Cambria Math" w:hAnsi="Cambria Math"/>
            </w:rPr>
            <m:t>(AMPS) ,</m:t>
          </m:r>
        </m:oMath>
      </m:oMathPara>
    </w:p>
    <w:p w:rsidR="00370486" w:rsidRPr="00DF64BF" w:rsidRDefault="00370486" w:rsidP="00B565D7">
      <w:pPr>
        <w:spacing w:line="240" w:lineRule="auto"/>
        <w:ind w:left="720"/>
        <w:rPr>
          <w:rFonts w:eastAsiaTheme="minorEastAsia"/>
        </w:rPr>
      </w:pPr>
      <w:r w:rsidRPr="00DF64BF">
        <w:rPr>
          <w:rFonts w:eastAsiaTheme="minorEastAsia"/>
        </w:rPr>
        <w:t xml:space="preserve">where ln is the natural log (i.e., log to the base e), </w:t>
      </w:r>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average miles per shipment</m:t>
            </m:r>
          </m:sub>
        </m:sSub>
      </m:oMath>
      <w:r w:rsidRPr="00DF64BF">
        <w:rPr>
          <w:rFonts w:eastAsiaTheme="minorEastAsia"/>
        </w:rPr>
        <w:t xml:space="preserve">  is the CV (expressed as a percent) of the estimate of average miles per shipment, </w:t>
      </w:r>
      <m:oMath>
        <m:r>
          <w:rPr>
            <w:rFonts w:ascii="Cambria Math" w:eastAsiaTheme="minorEastAsia" w:hAnsi="Cambria Math"/>
          </w:rPr>
          <m:t>n</m:t>
        </m:r>
      </m:oMath>
      <w:r w:rsidRPr="00DF64BF">
        <w:t xml:space="preserve"> is the number of </w:t>
      </w:r>
      <w:r w:rsidRPr="00DF64BF">
        <w:lastRenderedPageBreak/>
        <w:t xml:space="preserve">shipments that were used to compute the estimate, </w:t>
      </w:r>
      <m:oMath>
        <m:r>
          <w:rPr>
            <w:rFonts w:ascii="Cambria Math" w:hAnsi="Cambria Math"/>
          </w:rPr>
          <m:t>AMPS</m:t>
        </m:r>
      </m:oMath>
      <w:r w:rsidRPr="00DF64BF">
        <w:rPr>
          <w:rFonts w:eastAsiaTheme="minorEastAsia"/>
        </w:rPr>
        <w:t xml:space="preserve"> is the estimate of average miles per shipment, </w:t>
      </w:r>
      <w:r w:rsidRPr="00DF64BF">
        <w:t>and</w:t>
      </w:r>
      <w:r w:rsidRPr="00DF64BF">
        <w:rPr>
          <w:rFonts w:eastAsiaTheme="minorEastAsia"/>
        </w:rPr>
        <w:t xml:space="preserve"> </w:t>
      </w:r>
      <m:oMath>
        <m:r>
          <w:rPr>
            <w:rFonts w:ascii="Cambria Math" w:hAnsi="Cambria Math"/>
          </w:rPr>
          <m:t xml:space="preserve">a, b, </m:t>
        </m:r>
        <m:r>
          <m:rPr>
            <m:nor/>
          </m:rPr>
          <w:rPr>
            <w:rFonts w:ascii="Cambria Math" w:hAnsi="Cambria Math"/>
          </w:rPr>
          <m:t xml:space="preserve">and </m:t>
        </m:r>
        <m:r>
          <w:rPr>
            <w:rFonts w:ascii="Cambria Math" w:hAnsi="Cambria Math"/>
          </w:rPr>
          <m:t>c</m:t>
        </m:r>
      </m:oMath>
      <w:r w:rsidRPr="00DF64BF">
        <w:t xml:space="preserve"> are regression coefficients.</w:t>
      </w:r>
      <w:r w:rsidRPr="00DF64BF">
        <w:rPr>
          <w:rFonts w:eastAsiaTheme="minorEastAsia"/>
        </w:rPr>
        <w:t xml:space="preserve">   </w:t>
      </w:r>
    </w:p>
    <w:p w:rsidR="00370486" w:rsidRPr="00DF64BF" w:rsidRDefault="00370486" w:rsidP="00B565D7">
      <w:pPr>
        <w:spacing w:line="240" w:lineRule="auto"/>
        <w:ind w:left="720"/>
      </w:pPr>
      <w:r w:rsidRPr="00DF64BF">
        <w:t>Therefore, in order to compute the CV of the estimate of average miles per shipment, compute:</w:t>
      </w:r>
    </w:p>
    <w:p w:rsidR="00370486" w:rsidRPr="00DF64BF" w:rsidRDefault="00B165B6" w:rsidP="00370486">
      <w:pPr>
        <w:jc w:val="center"/>
      </w:pPr>
      <m:oMath>
        <m:sSub>
          <m:sSubPr>
            <m:ctrlPr>
              <w:rPr>
                <w:rFonts w:ascii="Cambria Math" w:eastAsiaTheme="minorEastAsia" w:hAnsi="Cambria Math"/>
                <w:i/>
              </w:rPr>
            </m:ctrlPr>
          </m:sSubPr>
          <m:e>
            <m:r>
              <w:rPr>
                <w:rFonts w:ascii="Cambria Math" w:eastAsiaTheme="minorEastAsia" w:hAnsi="Cambria Math"/>
              </w:rPr>
              <m:t>CV</m:t>
            </m:r>
          </m:e>
          <m:sub>
            <m:r>
              <w:rPr>
                <w:rFonts w:ascii="Cambria Math" w:eastAsiaTheme="minorEastAsia" w:hAnsi="Cambria Math"/>
              </w:rPr>
              <m:t>total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d>
                  <m:dPr>
                    <m:ctrlPr>
                      <w:rPr>
                        <w:rFonts w:ascii="Cambria Math" w:hAnsi="Cambria Math"/>
                        <w:i/>
                      </w:rPr>
                    </m:ctrlPr>
                  </m:dPr>
                  <m:e>
                    <m:r>
                      <w:rPr>
                        <w:rFonts w:ascii="Cambria Math" w:hAnsi="Cambria Math"/>
                      </w:rPr>
                      <m:t>n</m:t>
                    </m:r>
                  </m:e>
                </m:d>
              </m:e>
            </m:func>
            <m:r>
              <w:rPr>
                <w:rFonts w:ascii="Cambria Math" w:hAnsi="Cambria Math"/>
              </w:rPr>
              <m:t xml:space="preserve">+c </m:t>
            </m:r>
            <m:r>
              <m:rPr>
                <m:sty m:val="p"/>
              </m:rPr>
              <w:rPr>
                <w:rFonts w:ascii="Cambria Math" w:hAnsi="Cambria Math"/>
              </w:rPr>
              <m:t>ln⁡</m:t>
            </m:r>
            <m:r>
              <w:rPr>
                <w:rFonts w:ascii="Cambria Math" w:hAnsi="Cambria Math"/>
              </w:rPr>
              <m:t xml:space="preserve">(AMPS) </m:t>
            </m:r>
          </m:sup>
        </m:sSup>
      </m:oMath>
      <w:r w:rsidR="00370486" w:rsidRPr="00DF64BF">
        <w:rPr>
          <w:rFonts w:eastAsiaTheme="minorEastAsia"/>
        </w:rPr>
        <w:t>.</w:t>
      </w:r>
    </w:p>
    <w:p w:rsidR="00255348" w:rsidRDefault="00255348" w:rsidP="003A4552">
      <w:pPr>
        <w:ind w:left="720"/>
        <w:rPr>
          <w:b/>
          <w:i/>
        </w:rPr>
      </w:pPr>
    </w:p>
    <w:p w:rsidR="00255348" w:rsidRDefault="00255348" w:rsidP="003A4552">
      <w:pPr>
        <w:ind w:left="720"/>
        <w:rPr>
          <w:b/>
          <w:i/>
        </w:rPr>
      </w:pPr>
    </w:p>
    <w:p w:rsidR="00370486" w:rsidRPr="00DF64BF" w:rsidRDefault="0003620E" w:rsidP="003A4552">
      <w:pPr>
        <w:ind w:left="720"/>
        <w:rPr>
          <w:b/>
          <w:i/>
        </w:rPr>
      </w:pPr>
      <w:r w:rsidRPr="00DF64BF">
        <w:rPr>
          <w:b/>
          <w:i/>
        </w:rPr>
        <w:t xml:space="preserve">Note: </w:t>
      </w:r>
      <w:r w:rsidR="00370486" w:rsidRPr="00DF64BF">
        <w:rPr>
          <w:b/>
          <w:i/>
        </w:rPr>
        <w:t>Choose a, b, and c from the last row of Table 1 below.</w:t>
      </w:r>
    </w:p>
    <w:p w:rsidR="00370486" w:rsidRPr="00DF64BF" w:rsidRDefault="00370486" w:rsidP="00334C7B">
      <w:pPr>
        <w:spacing w:after="0"/>
        <w:ind w:left="1080" w:firstLine="270"/>
        <w:rPr>
          <w:b/>
          <w:i/>
        </w:rPr>
      </w:pPr>
      <w:r w:rsidRPr="00DF64BF">
        <w:rPr>
          <w:b/>
          <w:i/>
        </w:rPr>
        <w:t>Table 1:  Regression Coefficients of the GVFs</w:t>
      </w:r>
    </w:p>
    <w:tbl>
      <w:tblPr>
        <w:tblStyle w:val="TableGrid"/>
        <w:tblW w:w="0" w:type="auto"/>
        <w:jc w:val="center"/>
        <w:tblLook w:val="04A0" w:firstRow="1" w:lastRow="0" w:firstColumn="1" w:lastColumn="0" w:noHBand="0" w:noVBand="1"/>
      </w:tblPr>
      <w:tblGrid>
        <w:gridCol w:w="2888"/>
        <w:gridCol w:w="1170"/>
        <w:gridCol w:w="1260"/>
        <w:gridCol w:w="1317"/>
      </w:tblGrid>
      <w:tr w:rsidR="00370486" w:rsidRPr="00DF64BF" w:rsidTr="00CA7D4F">
        <w:trPr>
          <w:jc w:val="center"/>
        </w:trPr>
        <w:tc>
          <w:tcPr>
            <w:tcW w:w="2888" w:type="dxa"/>
            <w:tcBorders>
              <w:top w:val="single" w:sz="4" w:space="0" w:color="auto"/>
              <w:left w:val="single" w:sz="4" w:space="0" w:color="auto"/>
              <w:bottom w:val="double" w:sz="4" w:space="0" w:color="auto"/>
              <w:right w:val="single" w:sz="4" w:space="0" w:color="auto"/>
            </w:tcBorders>
            <w:shd w:val="clear" w:color="auto" w:fill="D9D9D9" w:themeFill="background1" w:themeFillShade="D9"/>
          </w:tcPr>
          <w:p w:rsidR="00370486" w:rsidRPr="00DF64BF" w:rsidRDefault="00370486" w:rsidP="00CA7D4F">
            <w:pPr>
              <w:jc w:val="center"/>
            </w:pPr>
            <w:r w:rsidRPr="00DF64BF">
              <w:t>Estimate</w:t>
            </w:r>
          </w:p>
        </w:tc>
        <w:tc>
          <w:tcPr>
            <w:tcW w:w="1170" w:type="dxa"/>
            <w:tcBorders>
              <w:bottom w:val="double" w:sz="4" w:space="0" w:color="auto"/>
              <w:right w:val="single" w:sz="6" w:space="0" w:color="auto"/>
            </w:tcBorders>
            <w:shd w:val="clear" w:color="auto" w:fill="D9D9D9" w:themeFill="background1" w:themeFillShade="D9"/>
          </w:tcPr>
          <w:p w:rsidR="00370486" w:rsidRPr="00DF64BF" w:rsidRDefault="00370486" w:rsidP="00873845">
            <w:pPr>
              <w:rPr>
                <w:rFonts w:ascii="Calibri" w:hAnsi="Calibri"/>
                <w:color w:val="000000"/>
              </w:rPr>
            </w:pPr>
            <m:oMathPara>
              <m:oMath>
                <m:r>
                  <w:rPr>
                    <w:rFonts w:ascii="Cambria Math" w:hAnsi="Cambria Math"/>
                    <w:color w:val="000000"/>
                  </w:rPr>
                  <m:t>a</m:t>
                </m:r>
              </m:oMath>
            </m:oMathPara>
          </w:p>
        </w:tc>
        <w:tc>
          <w:tcPr>
            <w:tcW w:w="1260" w:type="dxa"/>
            <w:tcBorders>
              <w:left w:val="single" w:sz="6" w:space="0" w:color="auto"/>
              <w:bottom w:val="double" w:sz="4" w:space="0" w:color="auto"/>
              <w:right w:val="single" w:sz="6" w:space="0" w:color="auto"/>
            </w:tcBorders>
            <w:shd w:val="clear" w:color="auto" w:fill="D9D9D9" w:themeFill="background1" w:themeFillShade="D9"/>
          </w:tcPr>
          <w:p w:rsidR="00370486" w:rsidRPr="00DF64BF" w:rsidRDefault="00370486" w:rsidP="00873845">
            <w:pPr>
              <w:rPr>
                <w:rFonts w:ascii="Calibri" w:hAnsi="Calibri"/>
                <w:color w:val="000000"/>
              </w:rPr>
            </w:pPr>
            <m:oMathPara>
              <m:oMath>
                <m:r>
                  <w:rPr>
                    <w:rFonts w:ascii="Cambria Math" w:hAnsi="Cambria Math"/>
                    <w:color w:val="000000"/>
                  </w:rPr>
                  <m:t>b</m:t>
                </m:r>
              </m:oMath>
            </m:oMathPara>
          </w:p>
        </w:tc>
        <w:tc>
          <w:tcPr>
            <w:tcW w:w="1317" w:type="dxa"/>
            <w:tcBorders>
              <w:left w:val="single" w:sz="6" w:space="0" w:color="auto"/>
              <w:bottom w:val="double" w:sz="4" w:space="0" w:color="auto"/>
            </w:tcBorders>
            <w:shd w:val="clear" w:color="auto" w:fill="D9D9D9" w:themeFill="background1" w:themeFillShade="D9"/>
          </w:tcPr>
          <w:p w:rsidR="00370486" w:rsidRPr="00DF64BF" w:rsidRDefault="00370486" w:rsidP="00873845">
            <w:pPr>
              <w:rPr>
                <w:rFonts w:ascii="Calibri" w:hAnsi="Calibri"/>
                <w:color w:val="000000"/>
              </w:rPr>
            </w:pPr>
            <m:oMathPara>
              <m:oMath>
                <m:r>
                  <w:rPr>
                    <w:rFonts w:ascii="Cambria Math" w:hAnsi="Cambria Math"/>
                    <w:color w:val="000000"/>
                  </w:rPr>
                  <m:t>c</m:t>
                </m:r>
              </m:oMath>
            </m:oMathPara>
          </w:p>
        </w:tc>
      </w:tr>
      <w:tr w:rsidR="00370486" w:rsidRPr="00DF64BF" w:rsidTr="00CA7D4F">
        <w:trPr>
          <w:jc w:val="center"/>
        </w:trPr>
        <w:tc>
          <w:tcPr>
            <w:tcW w:w="2888" w:type="dxa"/>
          </w:tcPr>
          <w:p w:rsidR="00370486" w:rsidRPr="00DF64BF" w:rsidRDefault="00370486" w:rsidP="00CA7D4F">
            <w:r w:rsidRPr="00DF64BF">
              <w:t>Total value</w:t>
            </w:r>
          </w:p>
        </w:tc>
        <w:tc>
          <w:tcPr>
            <w:tcW w:w="1170" w:type="dxa"/>
          </w:tcPr>
          <w:p w:rsidR="00370486" w:rsidRPr="00DF64BF" w:rsidRDefault="00370486" w:rsidP="00CA7D4F">
            <w:pPr>
              <w:jc w:val="right"/>
              <w:rPr>
                <w:sz w:val="24"/>
                <w:szCs w:val="24"/>
              </w:rPr>
            </w:pPr>
            <w:r w:rsidRPr="00DF64BF">
              <w:t>3.844</w:t>
            </w:r>
          </w:p>
        </w:tc>
        <w:tc>
          <w:tcPr>
            <w:tcW w:w="1260" w:type="dxa"/>
          </w:tcPr>
          <w:p w:rsidR="00370486" w:rsidRPr="00DF64BF" w:rsidRDefault="00370486" w:rsidP="00CA7D4F">
            <w:pPr>
              <w:jc w:val="right"/>
              <w:rPr>
                <w:sz w:val="24"/>
                <w:szCs w:val="24"/>
              </w:rPr>
            </w:pPr>
            <w:r w:rsidRPr="00DF64BF">
              <w:t>0.039</w:t>
            </w:r>
          </w:p>
        </w:tc>
        <w:tc>
          <w:tcPr>
            <w:tcW w:w="1317" w:type="dxa"/>
          </w:tcPr>
          <w:p w:rsidR="00370486" w:rsidRPr="00DF64BF" w:rsidRDefault="00370486" w:rsidP="00CA7D4F">
            <w:pPr>
              <w:jc w:val="right"/>
              <w:rPr>
                <w:sz w:val="24"/>
                <w:szCs w:val="24"/>
              </w:rPr>
            </w:pPr>
            <w:r w:rsidRPr="00DF64BF">
              <w:t>-0.020</w:t>
            </w:r>
          </w:p>
        </w:tc>
      </w:tr>
      <w:tr w:rsidR="00370486" w:rsidRPr="00DF64BF" w:rsidTr="00CA7D4F">
        <w:trPr>
          <w:jc w:val="center"/>
        </w:trPr>
        <w:tc>
          <w:tcPr>
            <w:tcW w:w="2888" w:type="dxa"/>
          </w:tcPr>
          <w:p w:rsidR="00370486" w:rsidRPr="00DF64BF" w:rsidRDefault="00370486" w:rsidP="00CA7D4F">
            <w:r w:rsidRPr="00DF64BF">
              <w:t>Total tonnage</w:t>
            </w:r>
          </w:p>
        </w:tc>
        <w:tc>
          <w:tcPr>
            <w:tcW w:w="1170" w:type="dxa"/>
          </w:tcPr>
          <w:p w:rsidR="00370486" w:rsidRPr="00DF64BF" w:rsidRDefault="00370486" w:rsidP="00CA7D4F">
            <w:pPr>
              <w:jc w:val="right"/>
              <w:rPr>
                <w:sz w:val="24"/>
                <w:szCs w:val="24"/>
              </w:rPr>
            </w:pPr>
            <w:r w:rsidRPr="00DF64BF">
              <w:t>3.761</w:t>
            </w:r>
          </w:p>
        </w:tc>
        <w:tc>
          <w:tcPr>
            <w:tcW w:w="1260" w:type="dxa"/>
          </w:tcPr>
          <w:p w:rsidR="00370486" w:rsidRPr="00DF64BF" w:rsidRDefault="00370486" w:rsidP="00CA7D4F">
            <w:pPr>
              <w:jc w:val="right"/>
              <w:rPr>
                <w:sz w:val="24"/>
                <w:szCs w:val="24"/>
              </w:rPr>
            </w:pPr>
            <w:r w:rsidRPr="00DF64BF">
              <w:t>0.076</w:t>
            </w:r>
          </w:p>
        </w:tc>
        <w:tc>
          <w:tcPr>
            <w:tcW w:w="1317" w:type="dxa"/>
          </w:tcPr>
          <w:p w:rsidR="00370486" w:rsidRPr="00DF64BF" w:rsidRDefault="00370486" w:rsidP="00CA7D4F">
            <w:pPr>
              <w:jc w:val="right"/>
              <w:rPr>
                <w:sz w:val="24"/>
                <w:szCs w:val="24"/>
              </w:rPr>
            </w:pPr>
            <w:r w:rsidRPr="00DF64BF">
              <w:t>-0.019</w:t>
            </w:r>
          </w:p>
        </w:tc>
      </w:tr>
      <w:tr w:rsidR="00370486" w:rsidRPr="00DF64BF" w:rsidTr="00CA7D4F">
        <w:trPr>
          <w:jc w:val="center"/>
        </w:trPr>
        <w:tc>
          <w:tcPr>
            <w:tcW w:w="2888" w:type="dxa"/>
          </w:tcPr>
          <w:p w:rsidR="00370486" w:rsidRPr="00DF64BF" w:rsidRDefault="00370486" w:rsidP="00CA7D4F">
            <w:r w:rsidRPr="00DF64BF">
              <w:t>Total ton-miles</w:t>
            </w:r>
          </w:p>
        </w:tc>
        <w:tc>
          <w:tcPr>
            <w:tcW w:w="1170" w:type="dxa"/>
          </w:tcPr>
          <w:p w:rsidR="00370486" w:rsidRPr="00DF64BF" w:rsidRDefault="00370486" w:rsidP="00CA7D4F">
            <w:pPr>
              <w:jc w:val="right"/>
              <w:rPr>
                <w:sz w:val="24"/>
                <w:szCs w:val="24"/>
              </w:rPr>
            </w:pPr>
            <w:r w:rsidRPr="00DF64BF">
              <w:t>4.092</w:t>
            </w:r>
          </w:p>
        </w:tc>
        <w:tc>
          <w:tcPr>
            <w:tcW w:w="1260" w:type="dxa"/>
          </w:tcPr>
          <w:p w:rsidR="00370486" w:rsidRPr="00DF64BF" w:rsidRDefault="00370486" w:rsidP="00CA7D4F">
            <w:pPr>
              <w:jc w:val="right"/>
              <w:rPr>
                <w:sz w:val="24"/>
                <w:szCs w:val="24"/>
              </w:rPr>
            </w:pPr>
            <w:r w:rsidRPr="00DF64BF">
              <w:t>-0.015</w:t>
            </w:r>
          </w:p>
        </w:tc>
        <w:tc>
          <w:tcPr>
            <w:tcW w:w="1317" w:type="dxa"/>
          </w:tcPr>
          <w:p w:rsidR="00370486" w:rsidRPr="00DF64BF" w:rsidRDefault="00370486" w:rsidP="00CA7D4F">
            <w:pPr>
              <w:jc w:val="right"/>
              <w:rPr>
                <w:sz w:val="24"/>
                <w:szCs w:val="24"/>
              </w:rPr>
            </w:pPr>
            <w:r w:rsidRPr="00DF64BF">
              <w:t>-0.012</w:t>
            </w:r>
          </w:p>
        </w:tc>
      </w:tr>
      <w:tr w:rsidR="00370486" w:rsidRPr="00DF64BF" w:rsidTr="00CA7D4F">
        <w:trPr>
          <w:jc w:val="center"/>
        </w:trPr>
        <w:tc>
          <w:tcPr>
            <w:tcW w:w="2888" w:type="dxa"/>
          </w:tcPr>
          <w:p w:rsidR="00370486" w:rsidRPr="00DF64BF" w:rsidRDefault="00370486" w:rsidP="00CA7D4F">
            <w:r w:rsidRPr="00DF64BF">
              <w:t>Average miles per shipment</w:t>
            </w:r>
          </w:p>
        </w:tc>
        <w:tc>
          <w:tcPr>
            <w:tcW w:w="1170" w:type="dxa"/>
          </w:tcPr>
          <w:p w:rsidR="00370486" w:rsidRPr="00DF64BF" w:rsidRDefault="00370486" w:rsidP="00CA7D4F">
            <w:pPr>
              <w:jc w:val="right"/>
              <w:rPr>
                <w:sz w:val="24"/>
                <w:szCs w:val="24"/>
              </w:rPr>
            </w:pPr>
            <w:r w:rsidRPr="00DF64BF">
              <w:t>5.168</w:t>
            </w:r>
          </w:p>
        </w:tc>
        <w:tc>
          <w:tcPr>
            <w:tcW w:w="1260" w:type="dxa"/>
          </w:tcPr>
          <w:p w:rsidR="00370486" w:rsidRPr="00DF64BF" w:rsidRDefault="00370486" w:rsidP="00CA7D4F">
            <w:pPr>
              <w:jc w:val="right"/>
              <w:rPr>
                <w:sz w:val="24"/>
                <w:szCs w:val="24"/>
              </w:rPr>
            </w:pPr>
            <w:r w:rsidRPr="00DF64BF">
              <w:t>-0.084</w:t>
            </w:r>
          </w:p>
        </w:tc>
        <w:tc>
          <w:tcPr>
            <w:tcW w:w="1317" w:type="dxa"/>
          </w:tcPr>
          <w:p w:rsidR="00370486" w:rsidRPr="00DF64BF" w:rsidRDefault="00370486" w:rsidP="00CA7D4F">
            <w:pPr>
              <w:jc w:val="right"/>
              <w:rPr>
                <w:sz w:val="24"/>
                <w:szCs w:val="24"/>
              </w:rPr>
            </w:pPr>
            <w:r w:rsidRPr="00DF64BF">
              <w:t>-0.376</w:t>
            </w:r>
          </w:p>
        </w:tc>
      </w:tr>
    </w:tbl>
    <w:p w:rsidR="00370486" w:rsidRPr="00DF64BF" w:rsidRDefault="00370486" w:rsidP="00370486">
      <w:pPr>
        <w:ind w:left="360"/>
      </w:pPr>
    </w:p>
    <w:p w:rsidR="005C7D06" w:rsidRDefault="005C7D06" w:rsidP="00B565D7">
      <w:pPr>
        <w:tabs>
          <w:tab w:val="left" w:pos="1080"/>
        </w:tabs>
        <w:spacing w:line="240" w:lineRule="auto"/>
        <w:ind w:left="1080" w:hanging="720"/>
      </w:pPr>
      <w:r w:rsidRPr="00DF64BF">
        <w:t>Note:</w:t>
      </w:r>
      <w:r w:rsidRPr="00DF64BF">
        <w:tab/>
        <w:t>The tables in Appendix C (in the columns under “PUM File GVF CVs”) contain CVs produced using these formulas for the estimates in the tables in Appendix B.</w:t>
      </w:r>
    </w:p>
    <w:p w:rsidR="0042025B" w:rsidRDefault="0042025B" w:rsidP="00B565D7">
      <w:pPr>
        <w:spacing w:line="240" w:lineRule="auto"/>
        <w:ind w:left="360"/>
        <w:rPr>
          <w:b/>
        </w:rPr>
      </w:pPr>
    </w:p>
    <w:p w:rsidR="00902C44" w:rsidRDefault="00902C44">
      <w:pPr>
        <w:sectPr w:rsidR="00902C44" w:rsidSect="008D4A2E">
          <w:headerReference w:type="even" r:id="rId11"/>
          <w:headerReference w:type="default" r:id="rId12"/>
          <w:footerReference w:type="even" r:id="rId13"/>
          <w:footerReference w:type="default" r:id="rId14"/>
          <w:headerReference w:type="first" r:id="rId15"/>
          <w:footerReference w:type="first" r:id="rId16"/>
          <w:pgSz w:w="12240" w:h="15840"/>
          <w:pgMar w:top="810" w:right="1440" w:bottom="990" w:left="1440" w:header="720" w:footer="270" w:gutter="0"/>
          <w:cols w:space="720"/>
          <w:docGrid w:linePitch="360"/>
        </w:sectPr>
      </w:pPr>
    </w:p>
    <w:p w:rsidR="00902C44" w:rsidRDefault="00902C44" w:rsidP="00902C44">
      <w:pPr>
        <w:jc w:val="right"/>
      </w:pPr>
      <w:r>
        <w:lastRenderedPageBreak/>
        <w:t>Appendix A</w:t>
      </w:r>
    </w:p>
    <w:tbl>
      <w:tblPr>
        <w:tblW w:w="10800" w:type="dxa"/>
        <w:tblInd w:w="18" w:type="dxa"/>
        <w:tblLayout w:type="fixed"/>
        <w:tblLook w:val="0000" w:firstRow="0" w:lastRow="0" w:firstColumn="0" w:lastColumn="0" w:noHBand="0" w:noVBand="0"/>
      </w:tblPr>
      <w:tblGrid>
        <w:gridCol w:w="2430"/>
        <w:gridCol w:w="3690"/>
        <w:gridCol w:w="2970"/>
        <w:gridCol w:w="810"/>
        <w:gridCol w:w="900"/>
      </w:tblGrid>
      <w:tr w:rsidR="00902C44" w:rsidTr="003D2F4A">
        <w:trPr>
          <w:trHeight w:val="304"/>
        </w:trPr>
        <w:tc>
          <w:tcPr>
            <w:tcW w:w="6120" w:type="dxa"/>
            <w:gridSpan w:val="2"/>
            <w:tcBorders>
              <w:top w:val="nil"/>
              <w:left w:val="nil"/>
              <w:bottom w:val="single" w:sz="6"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sz w:val="24"/>
                <w:szCs w:val="24"/>
              </w:rPr>
            </w:pPr>
            <w:r>
              <w:rPr>
                <w:rFonts w:ascii="Calibri" w:hAnsi="Calibri" w:cs="Calibri"/>
                <w:b/>
                <w:bCs/>
                <w:color w:val="000000"/>
                <w:sz w:val="24"/>
                <w:szCs w:val="24"/>
              </w:rPr>
              <w:t xml:space="preserve">2012 </w:t>
            </w:r>
            <w:r w:rsidRPr="003924EC">
              <w:rPr>
                <w:rFonts w:ascii="Calibri" w:hAnsi="Calibri" w:cs="Calibri"/>
                <w:b/>
                <w:bCs/>
                <w:color w:val="000000"/>
                <w:sz w:val="24"/>
                <w:szCs w:val="24"/>
              </w:rPr>
              <w:t>CFS PUM</w:t>
            </w:r>
            <w:r w:rsidR="003470CC" w:rsidRPr="003924EC">
              <w:rPr>
                <w:rFonts w:ascii="Calibri" w:hAnsi="Calibri" w:cs="Calibri"/>
                <w:b/>
                <w:bCs/>
                <w:color w:val="000000"/>
                <w:sz w:val="24"/>
                <w:szCs w:val="24"/>
              </w:rPr>
              <w:t xml:space="preserve"> </w:t>
            </w:r>
            <w:r w:rsidRPr="003924EC">
              <w:rPr>
                <w:rFonts w:ascii="Calibri" w:hAnsi="Calibri" w:cs="Calibri"/>
                <w:b/>
                <w:bCs/>
                <w:color w:val="000000"/>
                <w:sz w:val="24"/>
                <w:szCs w:val="24"/>
              </w:rPr>
              <w:t>F</w:t>
            </w:r>
            <w:r w:rsidR="003470CC" w:rsidRPr="003924EC">
              <w:rPr>
                <w:rFonts w:ascii="Calibri" w:hAnsi="Calibri" w:cs="Calibri"/>
                <w:b/>
                <w:bCs/>
                <w:color w:val="000000"/>
                <w:sz w:val="24"/>
                <w:szCs w:val="24"/>
              </w:rPr>
              <w:t>ile</w:t>
            </w:r>
            <w:r w:rsidRPr="003924EC">
              <w:rPr>
                <w:rFonts w:ascii="Calibri" w:hAnsi="Calibri" w:cs="Calibri"/>
                <w:b/>
                <w:bCs/>
                <w:color w:val="000000"/>
                <w:sz w:val="24"/>
                <w:szCs w:val="24"/>
              </w:rPr>
              <w:t xml:space="preserve"> Data</w:t>
            </w:r>
            <w:r>
              <w:rPr>
                <w:rFonts w:ascii="Calibri" w:hAnsi="Calibri" w:cs="Calibri"/>
                <w:b/>
                <w:bCs/>
                <w:color w:val="000000"/>
                <w:sz w:val="24"/>
                <w:szCs w:val="24"/>
              </w:rPr>
              <w:t xml:space="preserve"> Dictionary</w:t>
            </w:r>
          </w:p>
        </w:tc>
        <w:tc>
          <w:tcPr>
            <w:tcW w:w="2970" w:type="dxa"/>
            <w:tcBorders>
              <w:top w:val="nil"/>
              <w:left w:val="nil"/>
              <w:bottom w:val="single" w:sz="6" w:space="0" w:color="auto"/>
              <w:right w:val="nil"/>
            </w:tcBorders>
          </w:tcPr>
          <w:p w:rsidR="00902C44" w:rsidRDefault="00902C44" w:rsidP="00902C44">
            <w:pPr>
              <w:autoSpaceDE w:val="0"/>
              <w:autoSpaceDN w:val="0"/>
              <w:adjustRightInd w:val="0"/>
              <w:spacing w:after="0" w:line="240" w:lineRule="auto"/>
              <w:jc w:val="right"/>
              <w:rPr>
                <w:rFonts w:ascii="Calibri" w:hAnsi="Calibri" w:cs="Calibri"/>
                <w:color w:val="000000"/>
              </w:rPr>
            </w:pPr>
          </w:p>
        </w:tc>
        <w:tc>
          <w:tcPr>
            <w:tcW w:w="810" w:type="dxa"/>
            <w:tcBorders>
              <w:top w:val="nil"/>
              <w:left w:val="nil"/>
              <w:bottom w:val="single" w:sz="6" w:space="0" w:color="auto"/>
              <w:right w:val="nil"/>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c>
          <w:tcPr>
            <w:tcW w:w="900" w:type="dxa"/>
            <w:tcBorders>
              <w:top w:val="nil"/>
              <w:left w:val="nil"/>
              <w:bottom w:val="single" w:sz="6" w:space="0" w:color="auto"/>
              <w:right w:val="nil"/>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304"/>
        </w:trPr>
        <w:tc>
          <w:tcPr>
            <w:tcW w:w="2430" w:type="dxa"/>
            <w:tcBorders>
              <w:top w:val="single" w:sz="6" w:space="0" w:color="auto"/>
              <w:left w:val="single" w:sz="6" w:space="0" w:color="auto"/>
              <w:bottom w:val="double" w:sz="6" w:space="0" w:color="auto"/>
              <w:right w:val="nil"/>
            </w:tcBorders>
            <w:shd w:val="clear" w:color="auto" w:fill="D9D9D9" w:themeFill="background1" w:themeFillShade="D9"/>
          </w:tcPr>
          <w:p w:rsidR="00902C44" w:rsidRDefault="00902C44" w:rsidP="00902C44">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Field</w:t>
            </w:r>
          </w:p>
        </w:tc>
        <w:tc>
          <w:tcPr>
            <w:tcW w:w="3690"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Default="00902C44" w:rsidP="00902C44">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Description</w:t>
            </w:r>
          </w:p>
        </w:tc>
        <w:tc>
          <w:tcPr>
            <w:tcW w:w="2970" w:type="dxa"/>
            <w:tcBorders>
              <w:top w:val="single" w:sz="6" w:space="0" w:color="auto"/>
              <w:left w:val="nil"/>
              <w:bottom w:val="double" w:sz="6" w:space="0" w:color="auto"/>
              <w:right w:val="nil"/>
            </w:tcBorders>
            <w:shd w:val="clear" w:color="auto" w:fill="D9D9D9" w:themeFill="background1" w:themeFillShade="D9"/>
          </w:tcPr>
          <w:p w:rsidR="00902C44" w:rsidRDefault="00902C44" w:rsidP="00902C44">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Valid Values</w:t>
            </w:r>
          </w:p>
        </w:tc>
        <w:tc>
          <w:tcPr>
            <w:tcW w:w="810"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Default="00902C44" w:rsidP="00902C44">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Type</w:t>
            </w:r>
          </w:p>
        </w:tc>
        <w:tc>
          <w:tcPr>
            <w:tcW w:w="900"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Default="00902C44" w:rsidP="00902C44">
            <w:pPr>
              <w:autoSpaceDE w:val="0"/>
              <w:autoSpaceDN w:val="0"/>
              <w:adjustRightInd w:val="0"/>
              <w:spacing w:after="0" w:line="240" w:lineRule="auto"/>
              <w:jc w:val="center"/>
              <w:rPr>
                <w:rFonts w:ascii="Calibri" w:hAnsi="Calibri" w:cs="Calibri"/>
                <w:b/>
                <w:bCs/>
                <w:color w:val="000000"/>
              </w:rPr>
            </w:pPr>
            <w:r>
              <w:rPr>
                <w:rFonts w:ascii="Calibri" w:hAnsi="Calibri" w:cs="Calibri"/>
                <w:b/>
                <w:bCs/>
                <w:color w:val="000000"/>
              </w:rPr>
              <w:t>Length</w:t>
            </w:r>
          </w:p>
        </w:tc>
      </w:tr>
      <w:tr w:rsidR="00902C44" w:rsidTr="003D2F4A">
        <w:trPr>
          <w:trHeight w:val="304"/>
        </w:trPr>
        <w:tc>
          <w:tcPr>
            <w:tcW w:w="2430" w:type="dxa"/>
            <w:tcBorders>
              <w:top w:val="nil"/>
              <w:left w:val="single" w:sz="6" w:space="0" w:color="auto"/>
              <w:bottom w:val="single" w:sz="6"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SHIPMT_ID</w:t>
            </w:r>
          </w:p>
        </w:tc>
        <w:tc>
          <w:tcPr>
            <w:tcW w:w="3690" w:type="dxa"/>
            <w:tcBorders>
              <w:top w:val="nil"/>
              <w:left w:val="single" w:sz="6" w:space="0" w:color="auto"/>
              <w:bottom w:val="single" w:sz="6"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Shipment identifier</w:t>
            </w:r>
          </w:p>
        </w:tc>
        <w:tc>
          <w:tcPr>
            <w:tcW w:w="2970" w:type="dxa"/>
            <w:tcBorders>
              <w:top w:val="nil"/>
              <w:left w:val="nil"/>
              <w:bottom w:val="single" w:sz="6" w:space="0" w:color="auto"/>
              <w:right w:val="nil"/>
            </w:tcBorders>
          </w:tcPr>
          <w:p w:rsidR="00902C44" w:rsidRDefault="00902C44" w:rsidP="005114AA">
            <w:pPr>
              <w:autoSpaceDE w:val="0"/>
              <w:autoSpaceDN w:val="0"/>
              <w:adjustRightInd w:val="0"/>
              <w:spacing w:after="0" w:line="240" w:lineRule="auto"/>
              <w:rPr>
                <w:rFonts w:ascii="Calibri" w:hAnsi="Calibri" w:cs="Calibri"/>
                <w:color w:val="000000"/>
              </w:rPr>
            </w:pPr>
            <w:r>
              <w:rPr>
                <w:rFonts w:ascii="Calibri" w:hAnsi="Calibri" w:cs="Calibri"/>
                <w:color w:val="000000"/>
              </w:rPr>
              <w:t>0000001 – 45</w:t>
            </w:r>
            <w:r w:rsidR="005114AA">
              <w:rPr>
                <w:rFonts w:ascii="Calibri" w:hAnsi="Calibri" w:cs="Calibri"/>
                <w:color w:val="000000"/>
              </w:rPr>
              <w:t>47661</w:t>
            </w:r>
          </w:p>
        </w:tc>
        <w:tc>
          <w:tcPr>
            <w:tcW w:w="810" w:type="dxa"/>
            <w:tcBorders>
              <w:top w:val="nil"/>
              <w:left w:val="single" w:sz="6" w:space="0" w:color="auto"/>
              <w:bottom w:val="single" w:sz="6"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nil"/>
              <w:left w:val="single" w:sz="6" w:space="0" w:color="auto"/>
              <w:bottom w:val="single" w:sz="6"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7</w:t>
            </w:r>
          </w:p>
        </w:tc>
      </w:tr>
      <w:tr w:rsidR="00902C44" w:rsidTr="003D2F4A">
        <w:trPr>
          <w:trHeight w:val="304"/>
        </w:trPr>
        <w:tc>
          <w:tcPr>
            <w:tcW w:w="2430" w:type="dxa"/>
            <w:tcBorders>
              <w:top w:val="single" w:sz="6"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ORIG_STATE</w:t>
            </w:r>
          </w:p>
        </w:tc>
        <w:tc>
          <w:tcPr>
            <w:tcW w:w="3690" w:type="dxa"/>
            <w:tcBorders>
              <w:top w:val="single" w:sz="6"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FIPS state code of shipment origin</w:t>
            </w:r>
          </w:p>
        </w:tc>
        <w:tc>
          <w:tcPr>
            <w:tcW w:w="2970" w:type="dxa"/>
            <w:tcBorders>
              <w:top w:val="single" w:sz="6"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01 - 56</w:t>
            </w:r>
          </w:p>
        </w:tc>
        <w:tc>
          <w:tcPr>
            <w:tcW w:w="810" w:type="dxa"/>
            <w:tcBorders>
              <w:top w:val="single" w:sz="6"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6"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ORIG_MA</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Metro area of shipment origin</w:t>
            </w:r>
          </w:p>
        </w:tc>
        <w:tc>
          <w:tcPr>
            <w:tcW w:w="2970" w:type="dxa"/>
            <w:tcBorders>
              <w:top w:val="single" w:sz="2" w:space="0" w:color="auto"/>
              <w:left w:val="nil"/>
              <w:bottom w:val="single" w:sz="2" w:space="0" w:color="auto"/>
              <w:right w:val="nil"/>
            </w:tcBorders>
          </w:tcPr>
          <w:p w:rsidR="00902C44" w:rsidRPr="00667CFE" w:rsidRDefault="00902C44" w:rsidP="00902C44">
            <w:pPr>
              <w:autoSpaceDE w:val="0"/>
              <w:autoSpaceDN w:val="0"/>
              <w:adjustRightInd w:val="0"/>
              <w:spacing w:after="0" w:line="240" w:lineRule="auto"/>
              <w:rPr>
                <w:rFonts w:ascii="Calibri" w:hAnsi="Calibri" w:cs="Calibri"/>
                <w:i/>
                <w:color w:val="000000"/>
              </w:rPr>
            </w:pPr>
            <w:r w:rsidRPr="00667CFE">
              <w:rPr>
                <w:rFonts w:ascii="Calibri" w:hAnsi="Calibri" w:cs="Calibri"/>
                <w:i/>
                <w:color w:val="000000"/>
              </w:rPr>
              <w:t>See Note (1)</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ORIG_CFS_AREA</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CFS Area of shipment origin</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Concatenation of ORIG_STATE and ORIG_MA</w:t>
            </w:r>
            <w:r w:rsidR="00A224C6">
              <w:rPr>
                <w:rFonts w:ascii="Calibri" w:hAnsi="Calibri" w:cs="Calibri"/>
                <w:color w:val="000000"/>
              </w:rPr>
              <w:t xml:space="preserve"> (ex: 24-12580)</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DEST_STATE</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FIPS state code of shipment destination</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01-56</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2</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DEST_MA</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Metro area of shipment destination</w:t>
            </w:r>
          </w:p>
        </w:tc>
        <w:tc>
          <w:tcPr>
            <w:tcW w:w="2970" w:type="dxa"/>
            <w:tcBorders>
              <w:top w:val="single" w:sz="2" w:space="0" w:color="auto"/>
              <w:left w:val="nil"/>
              <w:bottom w:val="single" w:sz="2" w:space="0" w:color="auto"/>
              <w:right w:val="nil"/>
            </w:tcBorders>
          </w:tcPr>
          <w:p w:rsidR="00902C44" w:rsidRPr="00667CFE" w:rsidRDefault="00902C44" w:rsidP="00902C44">
            <w:pPr>
              <w:autoSpaceDE w:val="0"/>
              <w:autoSpaceDN w:val="0"/>
              <w:adjustRightInd w:val="0"/>
              <w:spacing w:after="0" w:line="240" w:lineRule="auto"/>
              <w:rPr>
                <w:rFonts w:ascii="Calibri" w:hAnsi="Calibri" w:cs="Calibri"/>
                <w:i/>
                <w:color w:val="000000"/>
              </w:rPr>
            </w:pPr>
            <w:r w:rsidRPr="00667CFE">
              <w:rPr>
                <w:rFonts w:ascii="Calibri" w:hAnsi="Calibri" w:cs="Calibri"/>
                <w:i/>
                <w:color w:val="000000"/>
              </w:rPr>
              <w:t>See Note (1)</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DEST_CFS_AREA</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CFS Area of shipment destination</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Concatenation of DEST_STATE and DEST_MA</w:t>
            </w:r>
            <w:r w:rsidR="00A224C6">
              <w:rPr>
                <w:rFonts w:ascii="Calibri" w:hAnsi="Calibri" w:cs="Calibri"/>
                <w:color w:val="000000"/>
              </w:rPr>
              <w:t xml:space="preserve"> (ex: 01-142)</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8</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NAICS</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Industry classification of shipper</w:t>
            </w:r>
          </w:p>
        </w:tc>
        <w:tc>
          <w:tcPr>
            <w:tcW w:w="2970" w:type="dxa"/>
            <w:tcBorders>
              <w:top w:val="single" w:sz="2" w:space="0" w:color="auto"/>
              <w:left w:val="nil"/>
              <w:bottom w:val="single" w:sz="2" w:space="0" w:color="auto"/>
              <w:right w:val="nil"/>
            </w:tcBorders>
          </w:tcPr>
          <w:p w:rsidR="00902C44" w:rsidRPr="00667CFE" w:rsidRDefault="00902C44" w:rsidP="00902C44">
            <w:pPr>
              <w:autoSpaceDE w:val="0"/>
              <w:autoSpaceDN w:val="0"/>
              <w:adjustRightInd w:val="0"/>
              <w:spacing w:after="0" w:line="240" w:lineRule="auto"/>
              <w:rPr>
                <w:rFonts w:ascii="Calibri" w:hAnsi="Calibri" w:cs="Calibri"/>
                <w:i/>
                <w:color w:val="000000"/>
              </w:rPr>
            </w:pPr>
            <w:r w:rsidRPr="00667CFE">
              <w:rPr>
                <w:rFonts w:ascii="Calibri" w:hAnsi="Calibri" w:cs="Calibri"/>
                <w:i/>
                <w:color w:val="000000"/>
              </w:rPr>
              <w:t>See Note (2)</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6</w:t>
            </w:r>
          </w:p>
        </w:tc>
      </w:tr>
      <w:tr w:rsidR="00902C44" w:rsidTr="003D2F4A">
        <w:trPr>
          <w:trHeight w:val="576"/>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QUARTER</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Quarter of 2012 in which the shipment occurred</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1, 2, 3, 4</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SCTG</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2-digit SCTG commodity code of the shipment</w:t>
            </w:r>
          </w:p>
        </w:tc>
        <w:tc>
          <w:tcPr>
            <w:tcW w:w="2970" w:type="dxa"/>
            <w:tcBorders>
              <w:top w:val="single" w:sz="2" w:space="0" w:color="auto"/>
              <w:left w:val="nil"/>
              <w:bottom w:val="single" w:sz="2" w:space="0" w:color="auto"/>
              <w:right w:val="nil"/>
            </w:tcBorders>
          </w:tcPr>
          <w:p w:rsidR="00902C44" w:rsidRPr="00667CFE" w:rsidRDefault="00902C44" w:rsidP="00902C44">
            <w:pPr>
              <w:autoSpaceDE w:val="0"/>
              <w:autoSpaceDN w:val="0"/>
              <w:adjustRightInd w:val="0"/>
              <w:spacing w:after="0" w:line="240" w:lineRule="auto"/>
              <w:rPr>
                <w:rFonts w:ascii="Calibri" w:hAnsi="Calibri" w:cs="Calibri"/>
                <w:i/>
                <w:color w:val="000000"/>
              </w:rPr>
            </w:pPr>
            <w:r w:rsidRPr="00667CFE">
              <w:rPr>
                <w:rFonts w:ascii="Calibri" w:hAnsi="Calibri" w:cs="Calibri"/>
                <w:i/>
                <w:color w:val="000000"/>
              </w:rPr>
              <w:t>See Note (3)</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5</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MODE</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Mode of transportation of the shipment</w:t>
            </w:r>
          </w:p>
        </w:tc>
        <w:tc>
          <w:tcPr>
            <w:tcW w:w="2970" w:type="dxa"/>
            <w:tcBorders>
              <w:top w:val="single" w:sz="2" w:space="0" w:color="auto"/>
              <w:left w:val="nil"/>
              <w:bottom w:val="single" w:sz="2" w:space="0" w:color="auto"/>
              <w:right w:val="nil"/>
            </w:tcBorders>
          </w:tcPr>
          <w:p w:rsidR="00902C44" w:rsidRPr="00667CFE" w:rsidRDefault="00902C44" w:rsidP="00902C44">
            <w:pPr>
              <w:autoSpaceDE w:val="0"/>
              <w:autoSpaceDN w:val="0"/>
              <w:adjustRightInd w:val="0"/>
              <w:spacing w:after="0" w:line="240" w:lineRule="auto"/>
              <w:rPr>
                <w:rFonts w:ascii="Calibri" w:hAnsi="Calibri" w:cs="Calibri"/>
                <w:i/>
                <w:color w:val="000000"/>
              </w:rPr>
            </w:pPr>
            <w:r w:rsidRPr="00667CFE">
              <w:rPr>
                <w:rFonts w:ascii="Calibri" w:hAnsi="Calibri" w:cs="Calibri"/>
                <w:i/>
                <w:color w:val="000000"/>
              </w:rPr>
              <w:t>See Note (4)</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6627A8"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3</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SHIPMT_VALUE</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Value of the shipment in dollars</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0 - 999,999,999</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NUM</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SHIPMT_WGHT</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Weight of the shipment in pounds</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0 - 999,999,999</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NUM</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576"/>
        </w:trPr>
        <w:tc>
          <w:tcPr>
            <w:tcW w:w="2430" w:type="dxa"/>
            <w:tcBorders>
              <w:top w:val="nil"/>
              <w:left w:val="single" w:sz="6" w:space="0" w:color="auto"/>
              <w:bottom w:val="nil"/>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SHIPMT_DIST_GC</w:t>
            </w:r>
          </w:p>
        </w:tc>
        <w:tc>
          <w:tcPr>
            <w:tcW w:w="369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Great circle distance between ship</w:t>
            </w:r>
            <w:r w:rsidR="003D2F4A">
              <w:rPr>
                <w:rFonts w:ascii="Calibri" w:hAnsi="Calibri" w:cs="Calibri"/>
                <w:color w:val="000000"/>
              </w:rPr>
              <w:t>-</w:t>
            </w:r>
            <w:r>
              <w:rPr>
                <w:rFonts w:ascii="Calibri" w:hAnsi="Calibri" w:cs="Calibri"/>
                <w:color w:val="000000"/>
              </w:rPr>
              <w:t>ment origin and destination (in miles)</w:t>
            </w:r>
          </w:p>
        </w:tc>
        <w:tc>
          <w:tcPr>
            <w:tcW w:w="2970" w:type="dxa"/>
            <w:tcBorders>
              <w:top w:val="nil"/>
              <w:left w:val="nil"/>
              <w:bottom w:val="nil"/>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0 - 99,999</w:t>
            </w:r>
          </w:p>
        </w:tc>
        <w:tc>
          <w:tcPr>
            <w:tcW w:w="81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NUM</w:t>
            </w:r>
          </w:p>
        </w:tc>
        <w:tc>
          <w:tcPr>
            <w:tcW w:w="90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576"/>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SHIPMT_DIST_ROUTED</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Routed distance between shipment origin and destination (in miles)</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0 - 99,999</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NUM</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576"/>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TEMP_CNTL_YN</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Temperature controlled shipment - Yes or No</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Y, N</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902C44" w:rsidTr="003D2F4A">
        <w:trPr>
          <w:trHeight w:val="288"/>
        </w:trPr>
        <w:tc>
          <w:tcPr>
            <w:tcW w:w="2430" w:type="dxa"/>
            <w:tcBorders>
              <w:top w:val="single" w:sz="2" w:space="0" w:color="auto"/>
              <w:left w:val="single" w:sz="6" w:space="0" w:color="auto"/>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EXPORT_YN</w:t>
            </w:r>
          </w:p>
        </w:tc>
        <w:tc>
          <w:tcPr>
            <w:tcW w:w="369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Export shipment - Yes or No</w:t>
            </w:r>
          </w:p>
        </w:tc>
        <w:tc>
          <w:tcPr>
            <w:tcW w:w="2970" w:type="dxa"/>
            <w:tcBorders>
              <w:top w:val="single" w:sz="2" w:space="0" w:color="auto"/>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Y, N</w:t>
            </w:r>
          </w:p>
        </w:tc>
        <w:tc>
          <w:tcPr>
            <w:tcW w:w="81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902C44" w:rsidTr="003D2F4A">
        <w:trPr>
          <w:trHeight w:val="288"/>
        </w:trPr>
        <w:tc>
          <w:tcPr>
            <w:tcW w:w="2430" w:type="dxa"/>
            <w:tcBorders>
              <w:top w:val="single" w:sz="2" w:space="0" w:color="auto"/>
              <w:left w:val="single" w:sz="6" w:space="0" w:color="auto"/>
              <w:bottom w:val="nil"/>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EXPORT_CNTRY</w:t>
            </w:r>
          </w:p>
        </w:tc>
        <w:tc>
          <w:tcPr>
            <w:tcW w:w="369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Export final destination</w:t>
            </w:r>
          </w:p>
        </w:tc>
        <w:tc>
          <w:tcPr>
            <w:tcW w:w="2970" w:type="dxa"/>
            <w:tcBorders>
              <w:top w:val="single" w:sz="2" w:space="0" w:color="auto"/>
              <w:left w:val="nil"/>
              <w:bottom w:val="nil"/>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 = Canada</w:t>
            </w:r>
          </w:p>
        </w:tc>
        <w:tc>
          <w:tcPr>
            <w:tcW w:w="81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902C44" w:rsidTr="003D2F4A">
        <w:trPr>
          <w:trHeight w:val="288"/>
        </w:trPr>
        <w:tc>
          <w:tcPr>
            <w:tcW w:w="2430" w:type="dxa"/>
            <w:tcBorders>
              <w:top w:val="nil"/>
              <w:left w:val="single" w:sz="6" w:space="0" w:color="auto"/>
              <w:bottom w:val="nil"/>
              <w:right w:val="nil"/>
            </w:tcBorders>
          </w:tcPr>
          <w:p w:rsidR="00902C44" w:rsidRDefault="00902C44" w:rsidP="00902C44">
            <w:pPr>
              <w:autoSpaceDE w:val="0"/>
              <w:autoSpaceDN w:val="0"/>
              <w:adjustRightInd w:val="0"/>
              <w:spacing w:after="0" w:line="240" w:lineRule="auto"/>
              <w:jc w:val="right"/>
              <w:rPr>
                <w:rFonts w:ascii="Calibri" w:hAnsi="Calibri" w:cs="Calibri"/>
                <w:b/>
                <w:bCs/>
                <w:color w:val="000000"/>
              </w:rPr>
            </w:pPr>
          </w:p>
        </w:tc>
        <w:tc>
          <w:tcPr>
            <w:tcW w:w="369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right"/>
              <w:rPr>
                <w:rFonts w:ascii="Calibri" w:hAnsi="Calibri" w:cs="Calibri"/>
                <w:color w:val="000000"/>
              </w:rPr>
            </w:pPr>
          </w:p>
        </w:tc>
        <w:tc>
          <w:tcPr>
            <w:tcW w:w="2970" w:type="dxa"/>
            <w:tcBorders>
              <w:top w:val="nil"/>
              <w:left w:val="nil"/>
              <w:bottom w:val="nil"/>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M = Mexico</w:t>
            </w:r>
          </w:p>
        </w:tc>
        <w:tc>
          <w:tcPr>
            <w:tcW w:w="81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c>
          <w:tcPr>
            <w:tcW w:w="90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288"/>
        </w:trPr>
        <w:tc>
          <w:tcPr>
            <w:tcW w:w="2430" w:type="dxa"/>
            <w:tcBorders>
              <w:top w:val="nil"/>
              <w:left w:val="single" w:sz="6" w:space="0" w:color="auto"/>
              <w:bottom w:val="nil"/>
              <w:right w:val="nil"/>
            </w:tcBorders>
          </w:tcPr>
          <w:p w:rsidR="00902C44" w:rsidRDefault="00902C44" w:rsidP="00902C44">
            <w:pPr>
              <w:autoSpaceDE w:val="0"/>
              <w:autoSpaceDN w:val="0"/>
              <w:adjustRightInd w:val="0"/>
              <w:spacing w:after="0" w:line="240" w:lineRule="auto"/>
              <w:jc w:val="right"/>
              <w:rPr>
                <w:rFonts w:ascii="Calibri" w:hAnsi="Calibri" w:cs="Calibri"/>
                <w:b/>
                <w:bCs/>
                <w:color w:val="000000"/>
              </w:rPr>
            </w:pPr>
          </w:p>
        </w:tc>
        <w:tc>
          <w:tcPr>
            <w:tcW w:w="369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right"/>
              <w:rPr>
                <w:rFonts w:ascii="Calibri" w:hAnsi="Calibri" w:cs="Calibri"/>
                <w:color w:val="000000"/>
              </w:rPr>
            </w:pPr>
          </w:p>
        </w:tc>
        <w:tc>
          <w:tcPr>
            <w:tcW w:w="2970" w:type="dxa"/>
            <w:tcBorders>
              <w:top w:val="nil"/>
              <w:left w:val="nil"/>
              <w:bottom w:val="nil"/>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O = Other country</w:t>
            </w:r>
          </w:p>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N = Not an export</w:t>
            </w:r>
          </w:p>
        </w:tc>
        <w:tc>
          <w:tcPr>
            <w:tcW w:w="81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c>
          <w:tcPr>
            <w:tcW w:w="90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288"/>
        </w:trPr>
        <w:tc>
          <w:tcPr>
            <w:tcW w:w="2430" w:type="dxa"/>
            <w:tcBorders>
              <w:top w:val="single" w:sz="2" w:space="0" w:color="auto"/>
              <w:left w:val="single" w:sz="6" w:space="0" w:color="auto"/>
              <w:bottom w:val="nil"/>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Pr>
                <w:rFonts w:ascii="Calibri" w:hAnsi="Calibri" w:cs="Calibri"/>
                <w:b/>
                <w:bCs/>
                <w:color w:val="000000"/>
              </w:rPr>
              <w:t>HAZMAT</w:t>
            </w:r>
          </w:p>
        </w:tc>
        <w:tc>
          <w:tcPr>
            <w:tcW w:w="369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Hazardous material (HAZMAT) code</w:t>
            </w:r>
          </w:p>
        </w:tc>
        <w:tc>
          <w:tcPr>
            <w:tcW w:w="2970" w:type="dxa"/>
            <w:tcBorders>
              <w:top w:val="single" w:sz="2" w:space="0" w:color="auto"/>
              <w:left w:val="nil"/>
              <w:bottom w:val="nil"/>
              <w:right w:val="nil"/>
            </w:tcBorders>
          </w:tcPr>
          <w:p w:rsidR="00902C44" w:rsidRDefault="00902C44" w:rsidP="00902C44">
            <w:pPr>
              <w:autoSpaceDE w:val="0"/>
              <w:autoSpaceDN w:val="0"/>
              <w:adjustRightInd w:val="0"/>
              <w:spacing w:after="0" w:line="240" w:lineRule="auto"/>
              <w:ind w:left="342" w:hanging="342"/>
              <w:rPr>
                <w:rFonts w:ascii="Calibri" w:hAnsi="Calibri" w:cs="Calibri"/>
                <w:color w:val="000000"/>
              </w:rPr>
            </w:pPr>
            <w:r>
              <w:rPr>
                <w:rFonts w:ascii="Calibri" w:hAnsi="Calibri" w:cs="Calibri"/>
                <w:color w:val="000000"/>
              </w:rPr>
              <w:t>P = Class 3.0 Hazmat (flammable liquids)</w:t>
            </w:r>
          </w:p>
        </w:tc>
        <w:tc>
          <w:tcPr>
            <w:tcW w:w="81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CHAR</w:t>
            </w:r>
          </w:p>
        </w:tc>
        <w:tc>
          <w:tcPr>
            <w:tcW w:w="900" w:type="dxa"/>
            <w:tcBorders>
              <w:top w:val="single" w:sz="2" w:space="0" w:color="auto"/>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1</w:t>
            </w:r>
          </w:p>
        </w:tc>
      </w:tr>
      <w:tr w:rsidR="00902C44" w:rsidTr="003D2F4A">
        <w:trPr>
          <w:trHeight w:val="288"/>
        </w:trPr>
        <w:tc>
          <w:tcPr>
            <w:tcW w:w="2430" w:type="dxa"/>
            <w:tcBorders>
              <w:top w:val="nil"/>
              <w:left w:val="single" w:sz="6" w:space="0" w:color="auto"/>
              <w:bottom w:val="nil"/>
              <w:right w:val="nil"/>
            </w:tcBorders>
          </w:tcPr>
          <w:p w:rsidR="00902C44" w:rsidRDefault="00902C44" w:rsidP="00C623A3">
            <w:pPr>
              <w:autoSpaceDE w:val="0"/>
              <w:autoSpaceDN w:val="0"/>
              <w:adjustRightInd w:val="0"/>
              <w:spacing w:after="0" w:line="240" w:lineRule="auto"/>
              <w:rPr>
                <w:rFonts w:ascii="Calibri" w:hAnsi="Calibri" w:cs="Calibri"/>
                <w:b/>
                <w:bCs/>
                <w:color w:val="000000"/>
              </w:rPr>
            </w:pPr>
          </w:p>
        </w:tc>
        <w:tc>
          <w:tcPr>
            <w:tcW w:w="369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right"/>
              <w:rPr>
                <w:rFonts w:ascii="Calibri" w:hAnsi="Calibri" w:cs="Calibri"/>
                <w:color w:val="000000"/>
              </w:rPr>
            </w:pPr>
          </w:p>
        </w:tc>
        <w:tc>
          <w:tcPr>
            <w:tcW w:w="2970" w:type="dxa"/>
            <w:tcBorders>
              <w:top w:val="nil"/>
              <w:left w:val="nil"/>
              <w:bottom w:val="nil"/>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H = Other Hazmat</w:t>
            </w:r>
          </w:p>
        </w:tc>
        <w:tc>
          <w:tcPr>
            <w:tcW w:w="81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c>
          <w:tcPr>
            <w:tcW w:w="900" w:type="dxa"/>
            <w:tcBorders>
              <w:top w:val="nil"/>
              <w:left w:val="single" w:sz="6" w:space="0" w:color="auto"/>
              <w:bottom w:val="nil"/>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288"/>
        </w:trPr>
        <w:tc>
          <w:tcPr>
            <w:tcW w:w="2430" w:type="dxa"/>
            <w:tcBorders>
              <w:top w:val="nil"/>
              <w:left w:val="single" w:sz="6" w:space="0" w:color="auto"/>
              <w:bottom w:val="single" w:sz="2" w:space="0" w:color="auto"/>
              <w:right w:val="nil"/>
            </w:tcBorders>
          </w:tcPr>
          <w:p w:rsidR="00902C44" w:rsidRDefault="00902C44" w:rsidP="00902C44">
            <w:pPr>
              <w:autoSpaceDE w:val="0"/>
              <w:autoSpaceDN w:val="0"/>
              <w:adjustRightInd w:val="0"/>
              <w:spacing w:after="0" w:line="240" w:lineRule="auto"/>
              <w:jc w:val="right"/>
              <w:rPr>
                <w:rFonts w:ascii="Calibri" w:hAnsi="Calibri" w:cs="Calibri"/>
                <w:b/>
                <w:bCs/>
                <w:color w:val="000000"/>
              </w:rPr>
            </w:pPr>
          </w:p>
        </w:tc>
        <w:tc>
          <w:tcPr>
            <w:tcW w:w="3690" w:type="dxa"/>
            <w:tcBorders>
              <w:top w:val="nil"/>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right"/>
              <w:rPr>
                <w:rFonts w:ascii="Calibri" w:hAnsi="Calibri" w:cs="Calibri"/>
                <w:color w:val="000000"/>
              </w:rPr>
            </w:pPr>
          </w:p>
        </w:tc>
        <w:tc>
          <w:tcPr>
            <w:tcW w:w="2970" w:type="dxa"/>
            <w:tcBorders>
              <w:top w:val="nil"/>
              <w:left w:val="nil"/>
              <w:bottom w:val="single" w:sz="2" w:space="0" w:color="auto"/>
              <w:right w:val="nil"/>
            </w:tcBorders>
          </w:tcPr>
          <w:p w:rsidR="00902C44"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N = Not Hazmat</w:t>
            </w:r>
          </w:p>
        </w:tc>
        <w:tc>
          <w:tcPr>
            <w:tcW w:w="810" w:type="dxa"/>
            <w:tcBorders>
              <w:top w:val="nil"/>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c>
          <w:tcPr>
            <w:tcW w:w="900" w:type="dxa"/>
            <w:tcBorders>
              <w:top w:val="nil"/>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r w:rsidR="00902C44" w:rsidTr="003D2F4A">
        <w:trPr>
          <w:trHeight w:val="288"/>
        </w:trPr>
        <w:tc>
          <w:tcPr>
            <w:tcW w:w="2430" w:type="dxa"/>
            <w:tcBorders>
              <w:top w:val="single" w:sz="2" w:space="0" w:color="auto"/>
              <w:left w:val="single" w:sz="6" w:space="0" w:color="auto"/>
              <w:bottom w:val="single" w:sz="6" w:space="0" w:color="auto"/>
              <w:right w:val="nil"/>
            </w:tcBorders>
          </w:tcPr>
          <w:p w:rsidR="00902C44" w:rsidRDefault="00902C44" w:rsidP="00902C44">
            <w:pPr>
              <w:autoSpaceDE w:val="0"/>
              <w:autoSpaceDN w:val="0"/>
              <w:adjustRightInd w:val="0"/>
              <w:spacing w:after="0" w:line="240" w:lineRule="auto"/>
              <w:rPr>
                <w:rFonts w:ascii="Calibri" w:hAnsi="Calibri" w:cs="Calibri"/>
                <w:b/>
                <w:bCs/>
                <w:color w:val="000000"/>
              </w:rPr>
            </w:pPr>
            <w:r w:rsidRPr="0080704F">
              <w:rPr>
                <w:rFonts w:ascii="Calibri" w:hAnsi="Calibri" w:cs="Calibri"/>
                <w:b/>
                <w:bCs/>
                <w:color w:val="000000" w:themeColor="text1"/>
              </w:rPr>
              <w:t>WGT_FACTOR</w:t>
            </w:r>
          </w:p>
        </w:tc>
        <w:tc>
          <w:tcPr>
            <w:tcW w:w="3690" w:type="dxa"/>
            <w:tcBorders>
              <w:top w:val="single" w:sz="2" w:space="0" w:color="auto"/>
              <w:left w:val="single" w:sz="6" w:space="0" w:color="auto"/>
              <w:bottom w:val="single" w:sz="6" w:space="0" w:color="auto"/>
              <w:right w:val="single" w:sz="6" w:space="0" w:color="auto"/>
            </w:tcBorders>
          </w:tcPr>
          <w:p w:rsidR="00902C44" w:rsidRDefault="00902C44" w:rsidP="00345710">
            <w:pPr>
              <w:autoSpaceDE w:val="0"/>
              <w:autoSpaceDN w:val="0"/>
              <w:adjustRightInd w:val="0"/>
              <w:spacing w:after="0" w:line="240" w:lineRule="auto"/>
              <w:rPr>
                <w:rFonts w:ascii="Calibri" w:hAnsi="Calibri" w:cs="Calibri"/>
                <w:color w:val="000000"/>
              </w:rPr>
            </w:pPr>
            <w:r>
              <w:rPr>
                <w:rFonts w:ascii="Calibri" w:hAnsi="Calibri" w:cs="Calibri"/>
                <w:color w:val="000000"/>
              </w:rPr>
              <w:t>Shipment tabulation weighting factor</w:t>
            </w:r>
            <w:r w:rsidR="004F01B2">
              <w:rPr>
                <w:rFonts w:ascii="Calibri" w:hAnsi="Calibri" w:cs="Calibri"/>
                <w:color w:val="000000"/>
              </w:rPr>
              <w:t xml:space="preserve">.  </w:t>
            </w:r>
            <w:r w:rsidR="004F01B2" w:rsidRPr="000C02D0">
              <w:rPr>
                <w:rFonts w:ascii="Calibri" w:hAnsi="Calibri" w:cs="Calibri"/>
                <w:color w:val="000000"/>
              </w:rPr>
              <w:t>(</w:t>
            </w:r>
            <w:r w:rsidR="00345710" w:rsidRPr="000C02D0">
              <w:rPr>
                <w:rFonts w:ascii="Calibri" w:hAnsi="Calibri" w:cs="Calibri"/>
                <w:i/>
                <w:color w:val="000000"/>
              </w:rPr>
              <w:t>This factor is a</w:t>
            </w:r>
            <w:r w:rsidR="004F01B2" w:rsidRPr="000C02D0">
              <w:rPr>
                <w:rFonts w:ascii="Calibri" w:hAnsi="Calibri" w:cs="Calibri"/>
                <w:i/>
                <w:color w:val="000000"/>
              </w:rPr>
              <w:t xml:space="preserve">lso an estimate of the </w:t>
            </w:r>
            <w:r w:rsidR="00345710" w:rsidRPr="000C02D0">
              <w:rPr>
                <w:rFonts w:ascii="Calibri" w:hAnsi="Calibri" w:cs="Calibri"/>
                <w:i/>
                <w:color w:val="000000"/>
              </w:rPr>
              <w:t xml:space="preserve">total </w:t>
            </w:r>
            <w:r w:rsidR="004F01B2" w:rsidRPr="000C02D0">
              <w:rPr>
                <w:rFonts w:ascii="Calibri" w:hAnsi="Calibri" w:cs="Calibri"/>
                <w:i/>
                <w:color w:val="000000"/>
              </w:rPr>
              <w:t xml:space="preserve">number of shipments </w:t>
            </w:r>
            <w:r w:rsidR="00345710" w:rsidRPr="000C02D0">
              <w:rPr>
                <w:rFonts w:ascii="Calibri" w:hAnsi="Calibri" w:cs="Calibri"/>
                <w:i/>
                <w:color w:val="000000"/>
              </w:rPr>
              <w:t>represent-</w:t>
            </w:r>
            <w:r w:rsidR="004F01B2" w:rsidRPr="000C02D0">
              <w:rPr>
                <w:rFonts w:ascii="Calibri" w:hAnsi="Calibri" w:cs="Calibri"/>
                <w:i/>
                <w:color w:val="000000"/>
              </w:rPr>
              <w:t>ted by the PUM file shipment.</w:t>
            </w:r>
            <w:r w:rsidR="004F01B2" w:rsidRPr="000C02D0">
              <w:rPr>
                <w:rFonts w:ascii="Calibri" w:hAnsi="Calibri" w:cs="Calibri"/>
                <w:color w:val="000000"/>
              </w:rPr>
              <w:t>)</w:t>
            </w:r>
          </w:p>
        </w:tc>
        <w:tc>
          <w:tcPr>
            <w:tcW w:w="2970" w:type="dxa"/>
            <w:tcBorders>
              <w:top w:val="single" w:sz="2" w:space="0" w:color="auto"/>
              <w:left w:val="nil"/>
              <w:bottom w:val="single" w:sz="6" w:space="0" w:color="auto"/>
              <w:right w:val="nil"/>
            </w:tcBorders>
          </w:tcPr>
          <w:p w:rsidR="00902C44" w:rsidRDefault="00902C44" w:rsidP="00A224C6">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0 </w:t>
            </w:r>
            <w:r w:rsidR="00A224C6">
              <w:rPr>
                <w:rFonts w:ascii="Calibri" w:hAnsi="Calibri" w:cs="Calibri"/>
                <w:color w:val="000000"/>
              </w:rPr>
              <w:t>–</w:t>
            </w:r>
            <w:r>
              <w:rPr>
                <w:rFonts w:ascii="Calibri" w:hAnsi="Calibri" w:cs="Calibri"/>
                <w:color w:val="000000"/>
              </w:rPr>
              <w:t xml:space="preserve"> </w:t>
            </w:r>
            <w:r w:rsidR="00A224C6">
              <w:rPr>
                <w:rFonts w:ascii="Calibri" w:hAnsi="Calibri" w:cs="Calibri"/>
                <w:color w:val="000000"/>
              </w:rPr>
              <w:t>975,000.0</w:t>
            </w:r>
          </w:p>
        </w:tc>
        <w:tc>
          <w:tcPr>
            <w:tcW w:w="810" w:type="dxa"/>
            <w:tcBorders>
              <w:top w:val="single" w:sz="2" w:space="0" w:color="auto"/>
              <w:left w:val="single" w:sz="6" w:space="0" w:color="auto"/>
              <w:bottom w:val="single" w:sz="6"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NUM</w:t>
            </w:r>
          </w:p>
        </w:tc>
        <w:tc>
          <w:tcPr>
            <w:tcW w:w="900" w:type="dxa"/>
            <w:tcBorders>
              <w:top w:val="single" w:sz="2" w:space="0" w:color="auto"/>
              <w:left w:val="single" w:sz="6" w:space="0" w:color="auto"/>
              <w:bottom w:val="single" w:sz="6" w:space="0" w:color="auto"/>
              <w:right w:val="single" w:sz="6" w:space="0" w:color="auto"/>
            </w:tcBorders>
          </w:tcPr>
          <w:p w:rsidR="00902C44" w:rsidRDefault="00902C44" w:rsidP="00902C44">
            <w:pPr>
              <w:autoSpaceDE w:val="0"/>
              <w:autoSpaceDN w:val="0"/>
              <w:adjustRightInd w:val="0"/>
              <w:spacing w:after="0" w:line="240" w:lineRule="auto"/>
              <w:jc w:val="center"/>
              <w:rPr>
                <w:rFonts w:ascii="Calibri" w:hAnsi="Calibri" w:cs="Calibri"/>
                <w:color w:val="000000"/>
              </w:rPr>
            </w:pPr>
          </w:p>
        </w:tc>
      </w:tr>
    </w:tbl>
    <w:p w:rsidR="00902C44" w:rsidRDefault="00902C44" w:rsidP="00902C44">
      <w:pPr>
        <w:spacing w:after="0"/>
      </w:pPr>
      <w:r>
        <w:t>Notes:</w:t>
      </w:r>
    </w:p>
    <w:p w:rsidR="00902C44" w:rsidRDefault="00902C44" w:rsidP="000C02D0">
      <w:pPr>
        <w:spacing w:after="0" w:line="240" w:lineRule="auto"/>
      </w:pPr>
      <w:r>
        <w:t>(1) See Appendix A-1 for the descriptions of the 132 valid CFS areas</w:t>
      </w:r>
    </w:p>
    <w:p w:rsidR="00902C44" w:rsidRDefault="00902C44" w:rsidP="000C02D0">
      <w:pPr>
        <w:spacing w:after="0" w:line="240" w:lineRule="auto"/>
      </w:pPr>
      <w:r>
        <w:t>(2) See Appendix A-2 for the descriptions of the 45 valid NAICS codes</w:t>
      </w:r>
    </w:p>
    <w:p w:rsidR="00902C44" w:rsidRDefault="00902C44" w:rsidP="000C02D0">
      <w:pPr>
        <w:spacing w:after="0" w:line="240" w:lineRule="auto"/>
      </w:pPr>
      <w:r>
        <w:t>(3) See Appendix A-3 for the descriptions of the 43 valid SCTG commodity codes</w:t>
      </w:r>
    </w:p>
    <w:p w:rsidR="00902C44" w:rsidRDefault="00902C44" w:rsidP="000C02D0">
      <w:pPr>
        <w:spacing w:after="0" w:line="240" w:lineRule="auto"/>
      </w:pPr>
      <w:r>
        <w:t>(4) See Appendix A-4 for the descriptions of the 20 valid Mode codes</w:t>
      </w:r>
      <w:r>
        <w:br/>
      </w:r>
    </w:p>
    <w:p w:rsidR="003924EC" w:rsidRDefault="003924EC">
      <w:r>
        <w:br w:type="page"/>
      </w:r>
    </w:p>
    <w:p w:rsidR="00902C44" w:rsidRDefault="00902C44" w:rsidP="00902C44">
      <w:pPr>
        <w:tabs>
          <w:tab w:val="left" w:pos="4425"/>
        </w:tabs>
        <w:spacing w:after="0"/>
        <w:jc w:val="right"/>
      </w:pPr>
      <w:r>
        <w:lastRenderedPageBreak/>
        <w:t>Appendix A-1</w:t>
      </w:r>
    </w:p>
    <w:p w:rsidR="00902C44" w:rsidRPr="00717210" w:rsidRDefault="00902C44" w:rsidP="00D81450">
      <w:pPr>
        <w:spacing w:after="0"/>
        <w:ind w:firstLine="90"/>
        <w:rPr>
          <w:b/>
          <w:sz w:val="24"/>
          <w:szCs w:val="24"/>
        </w:rPr>
      </w:pPr>
      <w:r w:rsidRPr="00717210">
        <w:rPr>
          <w:b/>
          <w:sz w:val="24"/>
          <w:szCs w:val="24"/>
        </w:rPr>
        <w:t>CFS Areas</w:t>
      </w:r>
    </w:p>
    <w:tbl>
      <w:tblPr>
        <w:tblW w:w="10765" w:type="dxa"/>
        <w:tblInd w:w="78" w:type="dxa"/>
        <w:tblLayout w:type="fixed"/>
        <w:tblLook w:val="0000" w:firstRow="0" w:lastRow="0" w:firstColumn="0" w:lastColumn="0" w:noHBand="0" w:noVBand="0"/>
      </w:tblPr>
      <w:tblGrid>
        <w:gridCol w:w="955"/>
        <w:gridCol w:w="1170"/>
        <w:gridCol w:w="1530"/>
        <w:gridCol w:w="540"/>
        <w:gridCol w:w="6570"/>
      </w:tblGrid>
      <w:tr w:rsidR="00902C44" w:rsidTr="0007170D">
        <w:trPr>
          <w:trHeight w:val="576"/>
          <w:tblHeader/>
        </w:trPr>
        <w:tc>
          <w:tcPr>
            <w:tcW w:w="955" w:type="dxa"/>
            <w:tcBorders>
              <w:top w:val="single" w:sz="6" w:space="0" w:color="auto"/>
              <w:left w:val="single" w:sz="6" w:space="0" w:color="auto"/>
              <w:bottom w:val="double" w:sz="6" w:space="0" w:color="auto"/>
              <w:right w:val="single" w:sz="2" w:space="0" w:color="auto"/>
            </w:tcBorders>
            <w:shd w:val="clear" w:color="auto" w:fill="D9D9D9" w:themeFill="background1" w:themeFillShade="D9"/>
            <w:tcMar>
              <w:left w:w="43" w:type="dxa"/>
              <w:right w:w="43" w:type="dxa"/>
            </w:tcMar>
            <w:vAlign w:val="center"/>
          </w:tcPr>
          <w:p w:rsidR="00902C44" w:rsidRPr="007E7DAD" w:rsidRDefault="00902C44" w:rsidP="00902C44">
            <w:pPr>
              <w:autoSpaceDE w:val="0"/>
              <w:autoSpaceDN w:val="0"/>
              <w:adjustRightInd w:val="0"/>
              <w:spacing w:after="0" w:line="240" w:lineRule="auto"/>
              <w:jc w:val="center"/>
              <w:rPr>
                <w:rFonts w:ascii="Calibri" w:hAnsi="Calibri" w:cs="Calibri"/>
                <w:b/>
                <w:color w:val="000000"/>
                <w:sz w:val="20"/>
                <w:szCs w:val="20"/>
              </w:rPr>
            </w:pPr>
            <w:r w:rsidRPr="007E7DAD">
              <w:rPr>
                <w:rFonts w:ascii="Calibri" w:hAnsi="Calibri" w:cs="Calibri"/>
                <w:b/>
                <w:color w:val="000000"/>
                <w:sz w:val="20"/>
                <w:szCs w:val="20"/>
              </w:rPr>
              <w:t>ORIG_MA</w:t>
            </w:r>
          </w:p>
          <w:p w:rsidR="00902C44" w:rsidRPr="000B63DC" w:rsidRDefault="00902C44" w:rsidP="00902C44">
            <w:pPr>
              <w:autoSpaceDE w:val="0"/>
              <w:autoSpaceDN w:val="0"/>
              <w:adjustRightInd w:val="0"/>
              <w:spacing w:after="0" w:line="240" w:lineRule="auto"/>
              <w:jc w:val="center"/>
              <w:rPr>
                <w:rFonts w:ascii="Calibri" w:hAnsi="Calibri" w:cs="Calibri"/>
                <w:b/>
                <w:color w:val="000000"/>
              </w:rPr>
            </w:pPr>
            <w:r w:rsidRPr="007E7DAD">
              <w:rPr>
                <w:rFonts w:ascii="Calibri" w:hAnsi="Calibri" w:cs="Calibri"/>
                <w:b/>
                <w:color w:val="000000"/>
                <w:sz w:val="20"/>
                <w:szCs w:val="20"/>
              </w:rPr>
              <w:t>DEST_MA</w:t>
            </w:r>
          </w:p>
        </w:tc>
        <w:tc>
          <w:tcPr>
            <w:tcW w:w="1170" w:type="dxa"/>
            <w:tcBorders>
              <w:top w:val="single" w:sz="6" w:space="0" w:color="auto"/>
              <w:left w:val="single" w:sz="2" w:space="0" w:color="auto"/>
              <w:bottom w:val="double" w:sz="6" w:space="0" w:color="auto"/>
              <w:right w:val="single" w:sz="6" w:space="0" w:color="auto"/>
            </w:tcBorders>
            <w:shd w:val="clear" w:color="auto" w:fill="D9D9D9" w:themeFill="background1" w:themeFillShade="D9"/>
            <w:tcMar>
              <w:left w:w="43" w:type="dxa"/>
              <w:right w:w="43" w:type="dxa"/>
            </w:tcMar>
            <w:vAlign w:val="center"/>
          </w:tcPr>
          <w:p w:rsidR="00902C44" w:rsidRPr="007E7DAD" w:rsidRDefault="00902C44" w:rsidP="00902C44">
            <w:pPr>
              <w:autoSpaceDE w:val="0"/>
              <w:autoSpaceDN w:val="0"/>
              <w:adjustRightInd w:val="0"/>
              <w:spacing w:after="0" w:line="240" w:lineRule="auto"/>
              <w:jc w:val="center"/>
              <w:rPr>
                <w:rFonts w:ascii="Calibri" w:hAnsi="Calibri" w:cs="Calibri"/>
                <w:b/>
                <w:color w:val="000000"/>
                <w:sz w:val="20"/>
                <w:szCs w:val="20"/>
              </w:rPr>
            </w:pPr>
            <w:r w:rsidRPr="007E7DAD">
              <w:rPr>
                <w:rFonts w:ascii="Calibri" w:hAnsi="Calibri" w:cs="Calibri"/>
                <w:b/>
                <w:color w:val="000000"/>
                <w:sz w:val="20"/>
                <w:szCs w:val="20"/>
              </w:rPr>
              <w:t>ORIG_STATE</w:t>
            </w:r>
          </w:p>
          <w:p w:rsidR="00902C44" w:rsidRPr="000B63DC" w:rsidRDefault="00902C44" w:rsidP="00902C44">
            <w:pPr>
              <w:autoSpaceDE w:val="0"/>
              <w:autoSpaceDN w:val="0"/>
              <w:adjustRightInd w:val="0"/>
              <w:spacing w:after="0" w:line="240" w:lineRule="auto"/>
              <w:jc w:val="center"/>
              <w:rPr>
                <w:rFonts w:ascii="Calibri" w:hAnsi="Calibri" w:cs="Calibri"/>
                <w:b/>
                <w:color w:val="000000"/>
              </w:rPr>
            </w:pPr>
            <w:r w:rsidRPr="007E7DAD">
              <w:rPr>
                <w:rFonts w:ascii="Calibri" w:hAnsi="Calibri" w:cs="Calibri"/>
                <w:b/>
                <w:color w:val="000000"/>
                <w:sz w:val="20"/>
                <w:szCs w:val="20"/>
              </w:rPr>
              <w:t>DEST_STATE</w:t>
            </w:r>
          </w:p>
        </w:tc>
        <w:tc>
          <w:tcPr>
            <w:tcW w:w="1530" w:type="dxa"/>
            <w:tcBorders>
              <w:top w:val="single" w:sz="6" w:space="0" w:color="auto"/>
              <w:left w:val="nil"/>
              <w:bottom w:val="double" w:sz="6" w:space="0" w:color="auto"/>
              <w:right w:val="single" w:sz="6" w:space="0" w:color="auto"/>
            </w:tcBorders>
            <w:shd w:val="clear" w:color="auto" w:fill="D9D9D9" w:themeFill="background1" w:themeFillShade="D9"/>
            <w:tcMar>
              <w:left w:w="43" w:type="dxa"/>
              <w:right w:w="43" w:type="dxa"/>
            </w:tcMar>
            <w:vAlign w:val="center"/>
          </w:tcPr>
          <w:p w:rsidR="00902C44" w:rsidRPr="007E7DAD" w:rsidRDefault="00902C44" w:rsidP="00902C44">
            <w:pPr>
              <w:autoSpaceDE w:val="0"/>
              <w:autoSpaceDN w:val="0"/>
              <w:adjustRightInd w:val="0"/>
              <w:spacing w:after="0" w:line="240" w:lineRule="auto"/>
              <w:jc w:val="center"/>
              <w:rPr>
                <w:rFonts w:ascii="Calibri" w:hAnsi="Calibri" w:cs="Calibri"/>
                <w:b/>
                <w:color w:val="000000"/>
                <w:sz w:val="20"/>
                <w:szCs w:val="20"/>
              </w:rPr>
            </w:pPr>
            <w:r w:rsidRPr="007E7DAD">
              <w:rPr>
                <w:rFonts w:ascii="Calibri" w:hAnsi="Calibri" w:cs="Calibri"/>
                <w:b/>
                <w:color w:val="000000"/>
                <w:sz w:val="20"/>
                <w:szCs w:val="20"/>
              </w:rPr>
              <w:t>ORIG_CFS_AREA</w:t>
            </w:r>
          </w:p>
          <w:p w:rsidR="00902C44" w:rsidRPr="000B63DC" w:rsidRDefault="00902C44" w:rsidP="00902C44">
            <w:pPr>
              <w:autoSpaceDE w:val="0"/>
              <w:autoSpaceDN w:val="0"/>
              <w:adjustRightInd w:val="0"/>
              <w:spacing w:after="0" w:line="240" w:lineRule="auto"/>
              <w:jc w:val="center"/>
              <w:rPr>
                <w:rFonts w:ascii="Calibri" w:hAnsi="Calibri" w:cs="Calibri"/>
                <w:b/>
                <w:color w:val="000000"/>
              </w:rPr>
            </w:pPr>
            <w:r w:rsidRPr="007E7DAD">
              <w:rPr>
                <w:rFonts w:ascii="Calibri" w:hAnsi="Calibri" w:cs="Calibri"/>
                <w:b/>
                <w:color w:val="000000"/>
                <w:sz w:val="20"/>
                <w:szCs w:val="20"/>
              </w:rPr>
              <w:t>DEST_CFS_AREA</w:t>
            </w:r>
          </w:p>
        </w:tc>
        <w:tc>
          <w:tcPr>
            <w:tcW w:w="540" w:type="dxa"/>
            <w:tcBorders>
              <w:top w:val="single" w:sz="6" w:space="0" w:color="auto"/>
              <w:left w:val="single" w:sz="6" w:space="0" w:color="auto"/>
              <w:bottom w:val="double" w:sz="6" w:space="0" w:color="auto"/>
              <w:right w:val="nil"/>
            </w:tcBorders>
            <w:shd w:val="clear" w:color="auto" w:fill="D9D9D9" w:themeFill="background1" w:themeFillShade="D9"/>
            <w:tcMar>
              <w:left w:w="43" w:type="dxa"/>
              <w:right w:w="43" w:type="dxa"/>
            </w:tcMar>
            <w:vAlign w:val="center"/>
          </w:tcPr>
          <w:p w:rsidR="00902C44" w:rsidRPr="00427170" w:rsidRDefault="00902C44" w:rsidP="00902C44">
            <w:pPr>
              <w:autoSpaceDE w:val="0"/>
              <w:autoSpaceDN w:val="0"/>
              <w:adjustRightInd w:val="0"/>
              <w:spacing w:after="0" w:line="240" w:lineRule="auto"/>
              <w:jc w:val="center"/>
              <w:rPr>
                <w:rFonts w:ascii="Calibri" w:hAnsi="Calibri" w:cs="Calibri"/>
                <w:b/>
                <w:i/>
                <w:color w:val="000000"/>
                <w:sz w:val="20"/>
                <w:szCs w:val="20"/>
              </w:rPr>
            </w:pPr>
            <w:r w:rsidRPr="00427170">
              <w:rPr>
                <w:rFonts w:ascii="Calibri" w:hAnsi="Calibri" w:cs="Calibri"/>
                <w:b/>
                <w:i/>
                <w:color w:val="000000"/>
                <w:sz w:val="20"/>
                <w:szCs w:val="20"/>
              </w:rPr>
              <w:t>MA</w:t>
            </w:r>
          </w:p>
          <w:p w:rsidR="00902C44" w:rsidRPr="000B63DC" w:rsidRDefault="00902C44" w:rsidP="00902C44">
            <w:pPr>
              <w:autoSpaceDE w:val="0"/>
              <w:autoSpaceDN w:val="0"/>
              <w:adjustRightInd w:val="0"/>
              <w:spacing w:after="0" w:line="240" w:lineRule="auto"/>
              <w:jc w:val="center"/>
              <w:rPr>
                <w:rFonts w:ascii="Calibri" w:hAnsi="Calibri" w:cs="Calibri"/>
                <w:b/>
                <w:color w:val="000000"/>
              </w:rPr>
            </w:pPr>
            <w:r w:rsidRPr="00427170">
              <w:rPr>
                <w:rFonts w:ascii="Calibri" w:hAnsi="Calibri" w:cs="Calibri"/>
                <w:b/>
                <w:i/>
                <w:color w:val="000000"/>
                <w:sz w:val="20"/>
                <w:szCs w:val="20"/>
              </w:rPr>
              <w:t>Type</w:t>
            </w:r>
          </w:p>
        </w:tc>
        <w:tc>
          <w:tcPr>
            <w:tcW w:w="6570" w:type="dxa"/>
            <w:tcBorders>
              <w:top w:val="single" w:sz="6" w:space="0" w:color="auto"/>
              <w:left w:val="single" w:sz="6" w:space="0" w:color="auto"/>
              <w:bottom w:val="double" w:sz="6" w:space="0" w:color="auto"/>
              <w:right w:val="single" w:sz="6" w:space="0" w:color="auto"/>
            </w:tcBorders>
            <w:shd w:val="clear" w:color="auto" w:fill="D9D9D9" w:themeFill="background1" w:themeFillShade="D9"/>
            <w:tcMar>
              <w:left w:w="43" w:type="dxa"/>
              <w:right w:w="43" w:type="dxa"/>
            </w:tcMar>
            <w:vAlign w:val="center"/>
          </w:tcPr>
          <w:p w:rsidR="00902C44" w:rsidRPr="00427170" w:rsidRDefault="00902C44" w:rsidP="00902C44">
            <w:pPr>
              <w:autoSpaceDE w:val="0"/>
              <w:autoSpaceDN w:val="0"/>
              <w:adjustRightInd w:val="0"/>
              <w:spacing w:after="0" w:line="240" w:lineRule="auto"/>
              <w:jc w:val="center"/>
              <w:rPr>
                <w:rFonts w:ascii="Calibri" w:hAnsi="Calibri" w:cs="Calibri"/>
                <w:b/>
                <w:i/>
                <w:color w:val="000000"/>
              </w:rPr>
            </w:pPr>
            <w:r w:rsidRPr="00427170">
              <w:rPr>
                <w:rFonts w:ascii="Calibri" w:hAnsi="Calibri" w:cs="Calibri"/>
                <w:b/>
                <w:i/>
                <w:color w:val="000000"/>
              </w:rPr>
              <w:t>Description</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104</w:t>
            </w: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36</w:t>
            </w:r>
          </w:p>
        </w:tc>
        <w:tc>
          <w:tcPr>
            <w:tcW w:w="1530" w:type="dxa"/>
            <w:tcBorders>
              <w:top w:val="nil"/>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36-104</w:t>
            </w:r>
          </w:p>
        </w:tc>
        <w:tc>
          <w:tcPr>
            <w:tcW w:w="540" w:type="dxa"/>
            <w:tcBorders>
              <w:top w:val="nil"/>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Albany-Schenectady, NY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122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13</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13-122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Atlanta-Athens-Clarke County-Sandy Springs, GA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142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01</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01-142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Birmingham-Hoover-Talladega, AL  CFS Area </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148</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25</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25-148</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Boston-Worcester-Providence, MA-RI-NH-CT  CFS Area (MA Part)</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33</w:t>
            </w:r>
          </w:p>
        </w:tc>
        <w:tc>
          <w:tcPr>
            <w:tcW w:w="1530" w:type="dxa"/>
            <w:tcBorders>
              <w:top w:val="nil"/>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33-148</w:t>
            </w:r>
          </w:p>
        </w:tc>
        <w:tc>
          <w:tcPr>
            <w:tcW w:w="540" w:type="dxa"/>
            <w:tcBorders>
              <w:top w:val="nil"/>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Boston-Worcester-Providence, MA-RI-NH-CT  CFS Area (NH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44</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44-148</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Boston-Worcester-Providence, MA-RI-NH-CT  CFS Area (RI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160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36-160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Buffalo-Cheektowaga, NY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172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37-172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Charlotte-Concord, NC-SC  CFS Area  (NC Part)</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176</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17</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17-176</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Chicago-Naperville, IL-IN-WI  CFS Area (IL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18</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18-176</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Chicago-Naperville, IL-IN-WI  CFS Area (IN Part)</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178</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21</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21-178</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Cincinnati-Wilmington-Maysville, OH-KY-IN  CFS Area (KY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39</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39-178</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Cincinnati-Wilmington-Maysville, OH-KY-IN  CFS Area (OH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184</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39</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39-184</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Cleveland-Akron-Canton, OH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198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39</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39-198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Columbus-Marion-Zanesville, OH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204</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48-204</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Corpus Christi-Kingsville-Alice,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206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48-206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Dallas-Fort Worth, TX-OK  CFS Area (TX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212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39</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39-212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Dayton-Springfield-Sidney, OH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216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08-216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Denver-Aurora, CO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220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26-220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Detroit-Warren-Ann Arbor, MI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238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48-238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El Paso-Las Cruces, TX-NM  CFS Area (TX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258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18-258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Fort Wayne-Huntington-Auburn, IN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260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06-260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Fresno-Madera, CA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266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26-266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Grand Rapids-Wyoming-Muskegon, MI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268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37-268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Greensboro--Winston-Salem--High Point, NC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273</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45</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45-273</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Greenville-Spartanburg-Anderson, SC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288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48-288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Houston-The Woodlands,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294</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18-294</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Indianapolis-Carmel-Muncie, IN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12-300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Jacksonville-St. Marys-Palatka, FL-GA  CFS Area (FL Part)</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312</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20</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20-312</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Kansas City-Overland Park-Kansas City, MO-KS  CFS Area (KS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29</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29-312</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Kansas City-Overland Park-Kansas City, MO-KS  CFS Area (MO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314</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47-314</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Knoxville-Morristown-Sevierville, TN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332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32-332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Las Vegas-Henderson, NV-AZ  CFS Area (NV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348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06-348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Los Angeles-Long Beach, CA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350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21</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21-350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Louisville/Jefferson County-Elizabethtown-Madison, KY-IN  CFS Area (KY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368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47-368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Memphis, TN-MS-AR  CFS Area (TN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370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12-370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Miami-Fort Lauderdale-Port St. Lucie, FL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376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55</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55-376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Milwaukee-Racine-Waukesha, WI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378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27-378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Minneapolis-St. Paul, MN-WI  CFS Area (MN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380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01</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01-380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Mobile-Daphne-Fairhope, AL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47-400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Nashville-Davidson--Murfreesboro, TN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406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22-406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New Orleans-Metairie-Hammond, LA-MS  CFS Area (LA Part)</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408</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09</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09-408</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New York-Newark, NY-NJ-CT-PA  CFS Area (CT Part)</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34</w:t>
            </w:r>
          </w:p>
        </w:tc>
        <w:tc>
          <w:tcPr>
            <w:tcW w:w="1530" w:type="dxa"/>
            <w:tcBorders>
              <w:top w:val="nil"/>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34-408</w:t>
            </w:r>
          </w:p>
        </w:tc>
        <w:tc>
          <w:tcPr>
            <w:tcW w:w="540" w:type="dxa"/>
            <w:tcBorders>
              <w:top w:val="nil"/>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New York-Newark, NY-NJ-CT-PA  CFS Area (NJ Part)</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36</w:t>
            </w:r>
          </w:p>
        </w:tc>
        <w:tc>
          <w:tcPr>
            <w:tcW w:w="1530" w:type="dxa"/>
            <w:tcBorders>
              <w:top w:val="nil"/>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36-408</w:t>
            </w:r>
          </w:p>
        </w:tc>
        <w:tc>
          <w:tcPr>
            <w:tcW w:w="540" w:type="dxa"/>
            <w:tcBorders>
              <w:top w:val="nil"/>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New York-Newark, NY-NJ-CT-PA  CFS Area (NY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42</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42-408</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New York-Newark, NY-NJ-CT-PA  CFS Area (PA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416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40</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40-416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Oklahoma City-Shawnee, OK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lastRenderedPageBreak/>
              <w:t>420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31</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31-420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Omaha-Council Bluffs-Fremont, NE-IA  CFS Area (NE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422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12-422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Orlando-Deltona-Daytona Beach, FL  CFS Area </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428</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10</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10-428</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Philadelphia-Reading-Camden, PA-NJ-DE-MD  CFS Area (DE Part)</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34</w:t>
            </w:r>
          </w:p>
        </w:tc>
        <w:tc>
          <w:tcPr>
            <w:tcW w:w="1530" w:type="dxa"/>
            <w:tcBorders>
              <w:top w:val="nil"/>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34-428</w:t>
            </w:r>
          </w:p>
        </w:tc>
        <w:tc>
          <w:tcPr>
            <w:tcW w:w="540" w:type="dxa"/>
            <w:tcBorders>
              <w:top w:val="nil"/>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Philadelphia-Reading-Camden, PA-NJ-DE-MD  CFS Area (NJ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42</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42-428</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Philadelphia-Reading-Camden, PA-NJ-DE-MD  CFS Area (PA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430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42-430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Pittsburgh-New Castle-Weirton, PA-OH-WV  CFS Area (PA Part)</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440</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41</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41-440</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Portland-Vancouver-Salem, OR-WA  CFS Area (OR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53</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53-440</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Portland-Vancouver-Salem, OR-WA  CFS Area (WA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450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37</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37-450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Raleigh-Durham-Chapel Hill, NC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464</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36-464</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Rochester-Batavia-Seneca Falls, NY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472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06-472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Sacramento-Roseville, CA  CFS Area </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476</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17</w:t>
            </w:r>
          </w:p>
        </w:tc>
        <w:tc>
          <w:tcPr>
            <w:tcW w:w="1530" w:type="dxa"/>
            <w:tcBorders>
              <w:top w:val="single" w:sz="2" w:space="0" w:color="auto"/>
              <w:left w:val="nil"/>
              <w:bottom w:val="nil"/>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17-476</w:t>
            </w:r>
          </w:p>
        </w:tc>
        <w:tc>
          <w:tcPr>
            <w:tcW w:w="540" w:type="dxa"/>
            <w:tcBorders>
              <w:top w:val="single" w:sz="2" w:space="0" w:color="auto"/>
              <w:left w:val="single" w:sz="6" w:space="0" w:color="auto"/>
              <w:bottom w:val="nil"/>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St. Louis-St. Charles-Farmington, MO-IL  CFS Area (IL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29</w:t>
            </w:r>
          </w:p>
        </w:tc>
        <w:tc>
          <w:tcPr>
            <w:tcW w:w="1530" w:type="dxa"/>
            <w:tcBorders>
              <w:top w:val="nil"/>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29-476</w:t>
            </w:r>
          </w:p>
        </w:tc>
        <w:tc>
          <w:tcPr>
            <w:tcW w:w="540" w:type="dxa"/>
            <w:tcBorders>
              <w:top w:val="nil"/>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St. Louis-St. Charles-Farmington, MO-IL  CFS Area (MO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482</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49</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49-482</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Salt Lake City-Provo-Orem, UT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488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06-488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San Jose-San Francisco-Oakland, CA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496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13</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13-496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Savannah-Hinesville-Statesboro, GA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500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53</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53-500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Seattle-Tacoma, WA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536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04</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04-536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Tucson-Nogales, AZ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538</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40</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40-538</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Tulsa-Muskogee-Bartlesville, OK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545</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51</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51-545</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Virginia Beach-Norfolk, VA-NC  CFS Area (VA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556</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20</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20-556</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C</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Wichita-Arkansas City-Winfield, KS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12420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48-12420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Austin-Round Rock,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12580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24</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24-12580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Baltimore-Columbia-Towson, MD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12940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22</w:t>
            </w:r>
          </w:p>
        </w:tc>
        <w:tc>
          <w:tcPr>
            <w:tcW w:w="1530" w:type="dxa"/>
            <w:tcBorders>
              <w:top w:val="single" w:sz="2" w:space="0" w:color="auto"/>
              <w:left w:val="nil"/>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ind w:firstLine="162"/>
              <w:rPr>
                <w:rFonts w:cs="Calibri"/>
                <w:color w:val="000000"/>
                <w:sz w:val="20"/>
                <w:szCs w:val="20"/>
              </w:rPr>
            </w:pPr>
            <w:r>
              <w:rPr>
                <w:rFonts w:cs="Calibri"/>
                <w:color w:val="000000"/>
                <w:sz w:val="20"/>
                <w:szCs w:val="20"/>
              </w:rPr>
              <w:t>22-12940</w:t>
            </w:r>
          </w:p>
        </w:tc>
        <w:tc>
          <w:tcPr>
            <w:tcW w:w="540" w:type="dxa"/>
            <w:tcBorders>
              <w:top w:val="single" w:sz="2" w:space="0" w:color="auto"/>
              <w:left w:val="single" w:sz="6" w:space="0" w:color="auto"/>
              <w:bottom w:val="single" w:sz="2" w:space="0" w:color="auto"/>
              <w:right w:val="nil"/>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Baton Rouge, LA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13140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48-13140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Beaumont-Port Arthur,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16700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45</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45-16700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Charleston-North Charleston-Summerville, SC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25540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09</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09-25540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Hartford-West Hartford-East Hartford, CT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29340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22</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22-29340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Lake Charles, LA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29700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48-29700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Laredo,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38060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04</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04-38060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Phoenix-Mesa-Glendale, AZ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40060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51</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51-40060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Richmond, VA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41700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48-41700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San Antonio-New Braunfels, TX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41740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06-41740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San Diego-Carlsbad-San Marcos, CA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45300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12</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12-45300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Tampa-St. Petersburg-Clearwater, FL  CFS Area </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46520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15</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15-46520</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 xml:space="preserve">Urban Honolulu, HI  CFS Area </w:t>
            </w:r>
          </w:p>
        </w:tc>
      </w:tr>
      <w:tr w:rsidR="00902C44" w:rsidTr="0007170D">
        <w:trPr>
          <w:trHeight w:hRule="exact" w:val="288"/>
        </w:trPr>
        <w:tc>
          <w:tcPr>
            <w:tcW w:w="955" w:type="dxa"/>
            <w:tcBorders>
              <w:top w:val="single" w:sz="2" w:space="0" w:color="auto"/>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47900</w:t>
            </w:r>
          </w:p>
        </w:tc>
        <w:tc>
          <w:tcPr>
            <w:tcW w:w="1170" w:type="dxa"/>
            <w:tcBorders>
              <w:top w:val="single" w:sz="2" w:space="0" w:color="auto"/>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11</w:t>
            </w:r>
          </w:p>
        </w:tc>
        <w:tc>
          <w:tcPr>
            <w:tcW w:w="1530" w:type="dxa"/>
            <w:tcBorders>
              <w:top w:val="single" w:sz="2" w:space="0" w:color="auto"/>
              <w:left w:val="nil"/>
              <w:bottom w:val="nil"/>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11-47900</w:t>
            </w:r>
          </w:p>
        </w:tc>
        <w:tc>
          <w:tcPr>
            <w:tcW w:w="540" w:type="dxa"/>
            <w:tcBorders>
              <w:top w:val="single" w:sz="2" w:space="0" w:color="auto"/>
              <w:left w:val="single" w:sz="6" w:space="0" w:color="auto"/>
              <w:bottom w:val="nil"/>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single" w:sz="2" w:space="0" w:color="auto"/>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Washington-Arlington-Alexandria, DC-VA-MD-WV  CFS Area (DC Part)</w:t>
            </w:r>
          </w:p>
        </w:tc>
      </w:tr>
      <w:tr w:rsidR="00902C44" w:rsidTr="0007170D">
        <w:trPr>
          <w:trHeight w:hRule="exact" w:val="288"/>
        </w:trPr>
        <w:tc>
          <w:tcPr>
            <w:tcW w:w="955" w:type="dxa"/>
            <w:tcBorders>
              <w:top w:val="nil"/>
              <w:left w:val="single" w:sz="6" w:space="0" w:color="auto"/>
              <w:bottom w:val="nil"/>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nil"/>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24</w:t>
            </w:r>
          </w:p>
        </w:tc>
        <w:tc>
          <w:tcPr>
            <w:tcW w:w="1530" w:type="dxa"/>
            <w:tcBorders>
              <w:top w:val="nil"/>
              <w:left w:val="nil"/>
              <w:bottom w:val="nil"/>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24-47900</w:t>
            </w:r>
          </w:p>
        </w:tc>
        <w:tc>
          <w:tcPr>
            <w:tcW w:w="540" w:type="dxa"/>
            <w:tcBorders>
              <w:top w:val="nil"/>
              <w:left w:val="single" w:sz="6" w:space="0" w:color="auto"/>
              <w:bottom w:val="nil"/>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nil"/>
              <w:left w:val="single" w:sz="6" w:space="0" w:color="auto"/>
              <w:bottom w:val="nil"/>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Washington-Arlington-Alexandria, DC-VA-MD-WV  CFS Area (MD Part)</w:t>
            </w:r>
          </w:p>
        </w:tc>
      </w:tr>
      <w:tr w:rsidR="00902C44" w:rsidTr="0007170D">
        <w:trPr>
          <w:trHeight w:hRule="exact" w:val="288"/>
        </w:trPr>
        <w:tc>
          <w:tcPr>
            <w:tcW w:w="955" w:type="dxa"/>
            <w:tcBorders>
              <w:top w:val="nil"/>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p>
        </w:tc>
        <w:tc>
          <w:tcPr>
            <w:tcW w:w="1170" w:type="dxa"/>
            <w:tcBorders>
              <w:top w:val="nil"/>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51</w:t>
            </w:r>
          </w:p>
        </w:tc>
        <w:tc>
          <w:tcPr>
            <w:tcW w:w="1530" w:type="dxa"/>
            <w:tcBorders>
              <w:top w:val="nil"/>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51-47900</w:t>
            </w:r>
          </w:p>
        </w:tc>
        <w:tc>
          <w:tcPr>
            <w:tcW w:w="540" w:type="dxa"/>
            <w:tcBorders>
              <w:top w:val="nil"/>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M</w:t>
            </w:r>
          </w:p>
        </w:tc>
        <w:tc>
          <w:tcPr>
            <w:tcW w:w="6570" w:type="dxa"/>
            <w:tcBorders>
              <w:top w:val="nil"/>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Washington-Arlington-Alexandria, DC-VA-MD-WV  CFS Area (VA Part)</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01</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01-99999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Alabama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02</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02-99999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Alaska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04</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04-99999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Arizona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05</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05-99999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Arkansas</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06</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06-99999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California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08</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08-99999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Colorado</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09</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09-99999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Connecticut</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10</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10-99999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Delaware</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12</w:t>
            </w:r>
          </w:p>
        </w:tc>
        <w:tc>
          <w:tcPr>
            <w:tcW w:w="1530" w:type="dxa"/>
            <w:tcBorders>
              <w:top w:val="single" w:sz="2" w:space="0" w:color="auto"/>
              <w:left w:val="nil"/>
              <w:bottom w:val="single" w:sz="2" w:space="0" w:color="auto"/>
              <w:right w:val="single" w:sz="6"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12-99999</w:t>
            </w:r>
          </w:p>
        </w:tc>
        <w:tc>
          <w:tcPr>
            <w:tcW w:w="540" w:type="dxa"/>
            <w:tcBorders>
              <w:top w:val="single" w:sz="2" w:space="0" w:color="auto"/>
              <w:left w:val="single" w:sz="6"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Florida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13</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13-99999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Georgia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lastRenderedPageBreak/>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15</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15-99999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Hawaii</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16</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16-99999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Idaho</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17</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17-99999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Illinois</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18</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18-99999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Indiana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19</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19-99999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Iowa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20</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20-99999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Kansas</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21</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21-99999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Kentucky</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22</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22-99999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Louisiana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23</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23-99999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Maine</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24</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24-99999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Maryland</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25</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25-99999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Massachusetts</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26</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26-99999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Michigan</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27</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27-99999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Minnesota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28</w:t>
            </w:r>
          </w:p>
        </w:tc>
        <w:tc>
          <w:tcPr>
            <w:tcW w:w="1530" w:type="dxa"/>
            <w:tcBorders>
              <w:top w:val="single" w:sz="2" w:space="0" w:color="auto"/>
              <w:left w:val="nil"/>
              <w:bottom w:val="single" w:sz="2" w:space="0" w:color="auto"/>
              <w:right w:val="single" w:sz="2" w:space="0" w:color="auto"/>
            </w:tcBorders>
          </w:tcPr>
          <w:p w:rsidR="00902C44"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28-99999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Mississippi</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29</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29-99999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Missouri</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30</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30-99999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Montana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31</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31-99999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Nebraska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32</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32-99999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Nevada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33</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33-99999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New Hampshire</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35</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35-99999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New Mexico</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36</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36-99999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New York</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37</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37-99999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North Carolina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38</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38-99999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North Dakota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39</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39-99999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Ohio</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40</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40-99999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Oklahoma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41</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41-99999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Oregon</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42</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42-99999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Pennsylvania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45</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45-99999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South Carolina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46</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46-99999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South Dakota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47</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47-99999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Tennessee</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48</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48-99999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Texas</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49</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49-99999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Utah</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50</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50-99999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Vermont</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51</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51-99999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Virginia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53</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53-99999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Washington</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54</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54-99999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West Virginia</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55</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55-99999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Wisconsin</w:t>
            </w:r>
            <w:r>
              <w:rPr>
                <w:rFonts w:cs="Calibri"/>
                <w:color w:val="000000"/>
                <w:sz w:val="20"/>
                <w:szCs w:val="20"/>
              </w:rPr>
              <w:t xml:space="preserve"> CFS Area</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99999</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sidRPr="00717210">
              <w:rPr>
                <w:rFonts w:cs="Calibri"/>
                <w:color w:val="000000"/>
                <w:sz w:val="20"/>
                <w:szCs w:val="20"/>
              </w:rPr>
              <w:t>56</w:t>
            </w:r>
          </w:p>
        </w:tc>
        <w:tc>
          <w:tcPr>
            <w:tcW w:w="1530" w:type="dxa"/>
            <w:tcBorders>
              <w:top w:val="single" w:sz="2" w:space="0" w:color="auto"/>
              <w:left w:val="nil"/>
              <w:bottom w:val="single" w:sz="2" w:space="0" w:color="auto"/>
              <w:right w:val="single" w:sz="2" w:space="0" w:color="auto"/>
            </w:tcBorders>
          </w:tcPr>
          <w:p w:rsidR="00902C44" w:rsidRPr="00612822"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56-99999</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sidRPr="00612822">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sidRPr="00717210">
              <w:rPr>
                <w:rFonts w:cs="Calibri"/>
                <w:color w:val="000000"/>
                <w:sz w:val="20"/>
                <w:szCs w:val="20"/>
              </w:rPr>
              <w:t>Remainder of Wyoming</w:t>
            </w:r>
            <w:r>
              <w:rPr>
                <w:rFonts w:cs="Calibri"/>
                <w:color w:val="000000"/>
                <w:sz w:val="20"/>
                <w:szCs w:val="20"/>
              </w:rPr>
              <w:t xml:space="preserve"> CFS Area</w:t>
            </w:r>
          </w:p>
        </w:tc>
      </w:tr>
      <w:tr w:rsidR="00902C44" w:rsidTr="0007170D">
        <w:trPr>
          <w:trHeight w:hRule="exact" w:val="288"/>
        </w:trPr>
        <w:tc>
          <w:tcPr>
            <w:tcW w:w="10765" w:type="dxa"/>
            <w:gridSpan w:val="5"/>
            <w:tcBorders>
              <w:top w:val="single" w:sz="2" w:space="0" w:color="auto"/>
              <w:left w:val="single" w:sz="6" w:space="0" w:color="auto"/>
              <w:bottom w:val="single" w:sz="2" w:space="0" w:color="auto"/>
              <w:right w:val="single" w:sz="6" w:space="0" w:color="auto"/>
            </w:tcBorders>
          </w:tcPr>
          <w:p w:rsidR="00902C44" w:rsidRPr="000957C9" w:rsidRDefault="00902C44" w:rsidP="00902C44">
            <w:pPr>
              <w:autoSpaceDE w:val="0"/>
              <w:autoSpaceDN w:val="0"/>
              <w:adjustRightInd w:val="0"/>
              <w:spacing w:after="0" w:line="240" w:lineRule="auto"/>
              <w:rPr>
                <w:rFonts w:cs="Calibri"/>
                <w:b/>
                <w:i/>
                <w:color w:val="000000"/>
                <w:sz w:val="20"/>
                <w:szCs w:val="20"/>
              </w:rPr>
            </w:pPr>
            <w:r w:rsidRPr="00427170">
              <w:rPr>
                <w:rFonts w:cs="Calibri"/>
                <w:b/>
                <w:i/>
                <w:color w:val="000000" w:themeColor="text1"/>
                <w:sz w:val="20"/>
                <w:szCs w:val="20"/>
              </w:rPr>
              <w:t>The following codes only apply to shipment origin variables</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Pr>
                <w:rFonts w:cs="Calibri"/>
                <w:color w:val="000000"/>
                <w:sz w:val="20"/>
                <w:szCs w:val="20"/>
              </w:rPr>
              <w:t>00000</w:t>
            </w:r>
          </w:p>
        </w:tc>
        <w:tc>
          <w:tcPr>
            <w:tcW w:w="1170" w:type="dxa"/>
            <w:tcBorders>
              <w:top w:val="single" w:sz="2" w:space="0" w:color="auto"/>
              <w:left w:val="single" w:sz="2"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jc w:val="center"/>
              <w:rPr>
                <w:rFonts w:cs="Calibri"/>
                <w:color w:val="000000"/>
                <w:sz w:val="20"/>
                <w:szCs w:val="20"/>
              </w:rPr>
            </w:pPr>
            <w:r>
              <w:rPr>
                <w:rFonts w:cs="Calibri"/>
                <w:color w:val="000000"/>
                <w:sz w:val="20"/>
                <w:szCs w:val="20"/>
              </w:rPr>
              <w:t>NN</w:t>
            </w:r>
          </w:p>
        </w:tc>
        <w:tc>
          <w:tcPr>
            <w:tcW w:w="1530" w:type="dxa"/>
            <w:tcBorders>
              <w:top w:val="single" w:sz="2" w:space="0" w:color="auto"/>
              <w:left w:val="nil"/>
              <w:bottom w:val="single" w:sz="2" w:space="0" w:color="auto"/>
              <w:right w:val="single" w:sz="2" w:space="0" w:color="auto"/>
            </w:tcBorders>
          </w:tcPr>
          <w:p w:rsidR="00902C44"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NN-00000</w:t>
            </w:r>
          </w:p>
        </w:tc>
        <w:tc>
          <w:tcPr>
            <w:tcW w:w="540" w:type="dxa"/>
            <w:tcBorders>
              <w:top w:val="single" w:sz="2" w:space="0" w:color="auto"/>
              <w:left w:val="single" w:sz="2" w:space="0" w:color="auto"/>
              <w:bottom w:val="single" w:sz="2" w:space="0" w:color="auto"/>
              <w:right w:val="nil"/>
            </w:tcBorders>
          </w:tcPr>
          <w:p w:rsidR="00902C44" w:rsidRPr="00612822" w:rsidRDefault="00902C44" w:rsidP="00902C44">
            <w:pPr>
              <w:autoSpaceDE w:val="0"/>
              <w:autoSpaceDN w:val="0"/>
              <w:adjustRightInd w:val="0"/>
              <w:spacing w:after="0" w:line="240" w:lineRule="auto"/>
              <w:jc w:val="center"/>
              <w:rPr>
                <w:rFonts w:cs="Calibri"/>
                <w:color w:val="000000" w:themeColor="text1"/>
                <w:sz w:val="20"/>
                <w:szCs w:val="20"/>
              </w:rPr>
            </w:pPr>
            <w:r>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Pr="00717210" w:rsidRDefault="00902C44" w:rsidP="00902C44">
            <w:pPr>
              <w:autoSpaceDE w:val="0"/>
              <w:autoSpaceDN w:val="0"/>
              <w:adjustRightInd w:val="0"/>
              <w:spacing w:after="0" w:line="240" w:lineRule="auto"/>
              <w:rPr>
                <w:rFonts w:cs="Calibri"/>
                <w:color w:val="000000"/>
                <w:sz w:val="20"/>
                <w:szCs w:val="20"/>
              </w:rPr>
            </w:pPr>
            <w:r>
              <w:rPr>
                <w:rFonts w:cs="Calibri"/>
                <w:color w:val="000000"/>
                <w:sz w:val="20"/>
                <w:szCs w:val="20"/>
              </w:rPr>
              <w:t>Origin metro area suppressed (where NN is a valid ORIG_STATE code)</w:t>
            </w:r>
          </w:p>
        </w:tc>
      </w:tr>
      <w:tr w:rsidR="00902C44" w:rsidTr="0007170D">
        <w:trPr>
          <w:trHeight w:hRule="exact" w:val="288"/>
        </w:trPr>
        <w:tc>
          <w:tcPr>
            <w:tcW w:w="955" w:type="dxa"/>
            <w:tcBorders>
              <w:top w:val="single" w:sz="2" w:space="0" w:color="auto"/>
              <w:left w:val="single" w:sz="6" w:space="0" w:color="auto"/>
              <w:bottom w:val="single" w:sz="2" w:space="0" w:color="auto"/>
              <w:right w:val="single" w:sz="2" w:space="0" w:color="auto"/>
            </w:tcBorders>
          </w:tcPr>
          <w:p w:rsidR="00902C44" w:rsidRDefault="00902C44" w:rsidP="00902C44">
            <w:pPr>
              <w:autoSpaceDE w:val="0"/>
              <w:autoSpaceDN w:val="0"/>
              <w:adjustRightInd w:val="0"/>
              <w:spacing w:after="0" w:line="240" w:lineRule="auto"/>
              <w:rPr>
                <w:rFonts w:cs="Calibri"/>
                <w:color w:val="000000"/>
                <w:sz w:val="20"/>
                <w:szCs w:val="20"/>
              </w:rPr>
            </w:pPr>
            <w:r>
              <w:rPr>
                <w:rFonts w:cs="Calibri"/>
                <w:color w:val="000000"/>
                <w:sz w:val="20"/>
                <w:szCs w:val="20"/>
              </w:rPr>
              <w:t>00000</w:t>
            </w:r>
          </w:p>
        </w:tc>
        <w:tc>
          <w:tcPr>
            <w:tcW w:w="1170" w:type="dxa"/>
            <w:tcBorders>
              <w:top w:val="single" w:sz="2" w:space="0" w:color="auto"/>
              <w:left w:val="single" w:sz="2"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jc w:val="center"/>
              <w:rPr>
                <w:rFonts w:cs="Calibri"/>
                <w:color w:val="000000"/>
                <w:sz w:val="20"/>
                <w:szCs w:val="20"/>
              </w:rPr>
            </w:pPr>
            <w:r>
              <w:rPr>
                <w:rFonts w:cs="Calibri"/>
                <w:color w:val="000000"/>
                <w:sz w:val="20"/>
                <w:szCs w:val="20"/>
              </w:rPr>
              <w:t>00</w:t>
            </w:r>
          </w:p>
        </w:tc>
        <w:tc>
          <w:tcPr>
            <w:tcW w:w="1530" w:type="dxa"/>
            <w:tcBorders>
              <w:top w:val="single" w:sz="2" w:space="0" w:color="auto"/>
              <w:left w:val="nil"/>
              <w:bottom w:val="single" w:sz="2" w:space="0" w:color="auto"/>
              <w:right w:val="single" w:sz="2" w:space="0" w:color="auto"/>
            </w:tcBorders>
          </w:tcPr>
          <w:p w:rsidR="00902C44" w:rsidRDefault="00902C44" w:rsidP="00902C44">
            <w:pPr>
              <w:autoSpaceDE w:val="0"/>
              <w:autoSpaceDN w:val="0"/>
              <w:adjustRightInd w:val="0"/>
              <w:spacing w:after="0" w:line="240" w:lineRule="auto"/>
              <w:ind w:firstLine="162"/>
              <w:rPr>
                <w:rFonts w:cs="Calibri"/>
                <w:color w:val="000000" w:themeColor="text1"/>
                <w:sz w:val="20"/>
                <w:szCs w:val="20"/>
              </w:rPr>
            </w:pPr>
            <w:r>
              <w:rPr>
                <w:rFonts w:cs="Calibri"/>
                <w:color w:val="000000" w:themeColor="text1"/>
                <w:sz w:val="20"/>
                <w:szCs w:val="20"/>
              </w:rPr>
              <w:t>00-00000</w:t>
            </w:r>
          </w:p>
        </w:tc>
        <w:tc>
          <w:tcPr>
            <w:tcW w:w="540" w:type="dxa"/>
            <w:tcBorders>
              <w:top w:val="single" w:sz="2" w:space="0" w:color="auto"/>
              <w:left w:val="single" w:sz="2" w:space="0" w:color="auto"/>
              <w:bottom w:val="single" w:sz="2" w:space="0" w:color="auto"/>
              <w:right w:val="nil"/>
            </w:tcBorders>
          </w:tcPr>
          <w:p w:rsidR="00902C44" w:rsidRDefault="00902C44" w:rsidP="00902C44">
            <w:pPr>
              <w:autoSpaceDE w:val="0"/>
              <w:autoSpaceDN w:val="0"/>
              <w:adjustRightInd w:val="0"/>
              <w:spacing w:after="0" w:line="240" w:lineRule="auto"/>
              <w:jc w:val="center"/>
              <w:rPr>
                <w:rFonts w:cs="Calibri"/>
                <w:color w:val="000000" w:themeColor="text1"/>
                <w:sz w:val="20"/>
                <w:szCs w:val="20"/>
              </w:rPr>
            </w:pPr>
            <w:r>
              <w:rPr>
                <w:rFonts w:cs="Calibri"/>
                <w:color w:val="000000" w:themeColor="text1"/>
                <w:sz w:val="20"/>
                <w:szCs w:val="20"/>
              </w:rPr>
              <w:t>R</w:t>
            </w:r>
          </w:p>
        </w:tc>
        <w:tc>
          <w:tcPr>
            <w:tcW w:w="6570" w:type="dxa"/>
            <w:tcBorders>
              <w:top w:val="single" w:sz="2" w:space="0" w:color="auto"/>
              <w:left w:val="single" w:sz="6" w:space="0" w:color="auto"/>
              <w:bottom w:val="single" w:sz="2" w:space="0" w:color="auto"/>
              <w:right w:val="single" w:sz="6" w:space="0" w:color="auto"/>
            </w:tcBorders>
          </w:tcPr>
          <w:p w:rsidR="00902C44" w:rsidRDefault="00902C44" w:rsidP="00902C44">
            <w:pPr>
              <w:autoSpaceDE w:val="0"/>
              <w:autoSpaceDN w:val="0"/>
              <w:adjustRightInd w:val="0"/>
              <w:spacing w:after="0" w:line="240" w:lineRule="auto"/>
              <w:rPr>
                <w:rFonts w:cs="Calibri"/>
                <w:color w:val="000000"/>
                <w:sz w:val="20"/>
                <w:szCs w:val="20"/>
              </w:rPr>
            </w:pPr>
            <w:r>
              <w:rPr>
                <w:rFonts w:cs="Calibri"/>
                <w:color w:val="000000"/>
                <w:sz w:val="20"/>
                <w:szCs w:val="20"/>
              </w:rPr>
              <w:t>Origin state and metro area suppressed</w:t>
            </w:r>
          </w:p>
        </w:tc>
      </w:tr>
    </w:tbl>
    <w:p w:rsidR="00902C44" w:rsidRDefault="00902C44" w:rsidP="000C02D0">
      <w:pPr>
        <w:tabs>
          <w:tab w:val="left" w:pos="1080"/>
        </w:tabs>
        <w:spacing w:before="240" w:after="0" w:line="240" w:lineRule="auto"/>
      </w:pPr>
      <w:r>
        <w:t xml:space="preserve">MA Type: </w:t>
      </w:r>
      <w:r>
        <w:tab/>
        <w:t>C = Combined statistical area (CSA) type CFS Area, M = Metropolitan statistical area (MSA) type CFS Area,</w:t>
      </w:r>
    </w:p>
    <w:p w:rsidR="00902C44" w:rsidRDefault="00902C44" w:rsidP="000C02D0">
      <w:pPr>
        <w:tabs>
          <w:tab w:val="left" w:pos="1080"/>
        </w:tabs>
        <w:spacing w:after="0" w:line="240" w:lineRule="auto"/>
      </w:pPr>
      <w:r>
        <w:tab/>
        <w:t>R = Remainder of state type CFS Area</w:t>
      </w:r>
    </w:p>
    <w:p w:rsidR="00902C44" w:rsidRDefault="00902C44" w:rsidP="000C02D0">
      <w:pPr>
        <w:spacing w:after="0" w:line="240" w:lineRule="auto"/>
      </w:pPr>
    </w:p>
    <w:p w:rsidR="00902C44" w:rsidRDefault="00902C44" w:rsidP="000C02D0">
      <w:pPr>
        <w:tabs>
          <w:tab w:val="left" w:pos="720"/>
        </w:tabs>
        <w:spacing w:line="240" w:lineRule="auto"/>
        <w:ind w:left="720" w:hanging="720"/>
      </w:pPr>
      <w:r>
        <w:t xml:space="preserve">NOTE: </w:t>
      </w:r>
      <w:r>
        <w:tab/>
        <w:t>For some shipments, it was necessary to suppress the CFS area of the shipment origin while still providing the state.  For example, if a shipment originating in the Chicago CFS Area (IL part) had to be (partially) suppressed, the ORIG_MA would be set to 00000 and the origin CFS Area would be 17-00000 (somewhere in IL).</w:t>
      </w:r>
    </w:p>
    <w:p w:rsidR="00902C44" w:rsidRDefault="00902C44" w:rsidP="00902C44">
      <w:pPr>
        <w:spacing w:after="0"/>
        <w:jc w:val="right"/>
      </w:pPr>
      <w:r>
        <w:lastRenderedPageBreak/>
        <w:t>Appendix A-2</w:t>
      </w:r>
    </w:p>
    <w:p w:rsidR="00902C44" w:rsidRPr="00717210" w:rsidRDefault="00902C44" w:rsidP="00902C44">
      <w:pPr>
        <w:spacing w:after="0"/>
        <w:rPr>
          <w:b/>
          <w:sz w:val="24"/>
          <w:szCs w:val="24"/>
        </w:rPr>
      </w:pPr>
      <w:r>
        <w:rPr>
          <w:b/>
          <w:sz w:val="24"/>
          <w:szCs w:val="24"/>
        </w:rPr>
        <w:t>NAICS (North American Industry Classification System) Codes</w:t>
      </w:r>
    </w:p>
    <w:tbl>
      <w:tblPr>
        <w:tblW w:w="0" w:type="auto"/>
        <w:tblInd w:w="78" w:type="dxa"/>
        <w:tblLayout w:type="fixed"/>
        <w:tblLook w:val="0000" w:firstRow="0" w:lastRow="0" w:firstColumn="0" w:lastColumn="0" w:noHBand="0" w:noVBand="0"/>
      </w:tblPr>
      <w:tblGrid>
        <w:gridCol w:w="1024"/>
        <w:gridCol w:w="6476"/>
      </w:tblGrid>
      <w:tr w:rsidR="00902C44" w:rsidRPr="00C824D3" w:rsidTr="00902C44">
        <w:trPr>
          <w:trHeight w:val="288"/>
        </w:trPr>
        <w:tc>
          <w:tcPr>
            <w:tcW w:w="1024" w:type="dxa"/>
            <w:tcBorders>
              <w:top w:val="single" w:sz="6" w:space="0" w:color="auto"/>
              <w:left w:val="single" w:sz="6" w:space="0" w:color="auto"/>
              <w:bottom w:val="double" w:sz="6" w:space="0" w:color="auto"/>
              <w:right w:val="nil"/>
            </w:tcBorders>
            <w:shd w:val="clear" w:color="auto" w:fill="D9D9D9" w:themeFill="background1" w:themeFillShade="D9"/>
          </w:tcPr>
          <w:p w:rsidR="00902C44" w:rsidRPr="00887711" w:rsidRDefault="00902C44" w:rsidP="00902C44">
            <w:pPr>
              <w:autoSpaceDE w:val="0"/>
              <w:autoSpaceDN w:val="0"/>
              <w:adjustRightInd w:val="0"/>
              <w:spacing w:after="0" w:line="240" w:lineRule="auto"/>
              <w:rPr>
                <w:rFonts w:ascii="Calibri" w:hAnsi="Calibri" w:cs="Calibri"/>
                <w:b/>
                <w:color w:val="000000"/>
              </w:rPr>
            </w:pPr>
            <w:r w:rsidRPr="00887711">
              <w:rPr>
                <w:rFonts w:ascii="Calibri" w:hAnsi="Calibri" w:cs="Calibri"/>
                <w:b/>
                <w:color w:val="000000"/>
              </w:rPr>
              <w:t>NAICS</w:t>
            </w:r>
          </w:p>
        </w:tc>
        <w:tc>
          <w:tcPr>
            <w:tcW w:w="6476"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Pr="00887711" w:rsidRDefault="00902C44" w:rsidP="00902C44">
            <w:pPr>
              <w:autoSpaceDE w:val="0"/>
              <w:autoSpaceDN w:val="0"/>
              <w:adjustRightInd w:val="0"/>
              <w:spacing w:after="0" w:line="240" w:lineRule="auto"/>
              <w:jc w:val="center"/>
              <w:rPr>
                <w:rFonts w:ascii="Calibri" w:hAnsi="Calibri" w:cs="Calibri"/>
                <w:b/>
                <w:color w:val="000000"/>
              </w:rPr>
            </w:pPr>
            <w:r w:rsidRPr="00887711">
              <w:rPr>
                <w:rFonts w:ascii="Calibri" w:hAnsi="Calibri" w:cs="Calibri"/>
                <w:b/>
                <w:color w:val="000000"/>
              </w:rPr>
              <w:t>Description</w:t>
            </w:r>
          </w:p>
        </w:tc>
      </w:tr>
      <w:tr w:rsidR="00902C44" w:rsidRPr="00C824D3" w:rsidTr="00902C44">
        <w:trPr>
          <w:trHeight w:val="288"/>
        </w:trPr>
        <w:tc>
          <w:tcPr>
            <w:tcW w:w="1024" w:type="dxa"/>
            <w:tcBorders>
              <w:top w:val="double" w:sz="6" w:space="0" w:color="auto"/>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212</w:t>
            </w:r>
          </w:p>
        </w:tc>
        <w:tc>
          <w:tcPr>
            <w:tcW w:w="6476" w:type="dxa"/>
            <w:tcBorders>
              <w:top w:val="double" w:sz="6" w:space="0" w:color="auto"/>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Mining (except oil and gas)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Food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312</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Beverage and tobacco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313</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Textile mills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314</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Textile product mills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315</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Apparel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316</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Leather and allied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Wood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322</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Paper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323</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Printing and related support activities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324</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Petroleum and coal products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325</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Chemical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326</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Plastics and rubber products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327</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Nonmetallic mineral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Primary metal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332</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Fabricated metal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333</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Machinery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334</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Computer and electronic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335</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Electrical equipment, appliance, and component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336</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Transportation equipment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337</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Furniture and related product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339</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Miscellaneous manufacturing</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Motor vehicle and parts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4232</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Furniture and home furnishing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4233</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Lumber and other construction materials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4234</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Commercial equip.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4235</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Metal and mineral (except petroleum)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4236</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Electrical and electronic goods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4237</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Hardware and plumbing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4238</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Machinery, equipment, and supplies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4239</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Miscellaneous durable goods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Paper and paper product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4242</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Drugs and druggists' sundries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4243</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Apparel, piece goods, and notions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4244</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Grocery and related product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4245</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Farm product raw material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4246</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Chemical and allied products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4247</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Petroleum and petroleum products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4248</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Beer, wine, and distilled alcoholic beverage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4249</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Miscellaneous nondurable goods merchant wholesalers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4541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Electronic shopping and mail-order houses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45431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Direct selling establishments</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4931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Warehousing and storage (includes 484)</w:t>
            </w:r>
          </w:p>
        </w:tc>
      </w:tr>
      <w:tr w:rsidR="00902C44" w:rsidRPr="00C824D3" w:rsidTr="00902C44">
        <w:trPr>
          <w:trHeight w:val="288"/>
        </w:trPr>
        <w:tc>
          <w:tcPr>
            <w:tcW w:w="1024" w:type="dxa"/>
            <w:tcBorders>
              <w:top w:val="nil"/>
              <w:left w:val="single" w:sz="6" w:space="0" w:color="auto"/>
              <w:bottom w:val="nil"/>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5111</w:t>
            </w:r>
          </w:p>
        </w:tc>
        <w:tc>
          <w:tcPr>
            <w:tcW w:w="6476" w:type="dxa"/>
            <w:tcBorders>
              <w:top w:val="nil"/>
              <w:left w:val="single" w:sz="6" w:space="0" w:color="auto"/>
              <w:bottom w:val="nil"/>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Newspaper, periodical, book, and directory publishers</w:t>
            </w:r>
          </w:p>
        </w:tc>
      </w:tr>
      <w:tr w:rsidR="00902C44" w:rsidRPr="00C824D3" w:rsidTr="00902C44">
        <w:trPr>
          <w:trHeight w:val="288"/>
        </w:trPr>
        <w:tc>
          <w:tcPr>
            <w:tcW w:w="1024" w:type="dxa"/>
            <w:tcBorders>
              <w:top w:val="nil"/>
              <w:left w:val="single" w:sz="6" w:space="0" w:color="auto"/>
              <w:bottom w:val="single" w:sz="6" w:space="0" w:color="auto"/>
              <w:right w:val="nil"/>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551114</w:t>
            </w:r>
          </w:p>
        </w:tc>
        <w:tc>
          <w:tcPr>
            <w:tcW w:w="6476" w:type="dxa"/>
            <w:tcBorders>
              <w:top w:val="nil"/>
              <w:left w:val="single" w:sz="6" w:space="0" w:color="auto"/>
              <w:bottom w:val="single" w:sz="6" w:space="0" w:color="auto"/>
              <w:right w:val="single" w:sz="6" w:space="0" w:color="auto"/>
            </w:tcBorders>
          </w:tcPr>
          <w:p w:rsidR="00902C44" w:rsidRPr="00C824D3" w:rsidRDefault="00902C44" w:rsidP="00902C44">
            <w:pPr>
              <w:autoSpaceDE w:val="0"/>
              <w:autoSpaceDN w:val="0"/>
              <w:adjustRightInd w:val="0"/>
              <w:spacing w:after="0" w:line="240" w:lineRule="auto"/>
              <w:rPr>
                <w:rFonts w:ascii="Calibri" w:hAnsi="Calibri" w:cs="Calibri"/>
                <w:color w:val="000000"/>
              </w:rPr>
            </w:pPr>
            <w:r w:rsidRPr="00C824D3">
              <w:rPr>
                <w:rFonts w:ascii="Calibri" w:hAnsi="Calibri" w:cs="Calibri"/>
                <w:color w:val="000000"/>
              </w:rPr>
              <w:t>Corporate, subsidiary, and regional managing offices</w:t>
            </w:r>
          </w:p>
        </w:tc>
      </w:tr>
    </w:tbl>
    <w:p w:rsidR="00902C44" w:rsidRDefault="00902C44" w:rsidP="00902C44">
      <w:pPr>
        <w:tabs>
          <w:tab w:val="left" w:pos="1080"/>
        </w:tabs>
        <w:spacing w:after="0"/>
      </w:pPr>
    </w:p>
    <w:p w:rsidR="00902C44" w:rsidRDefault="00902C44" w:rsidP="00902C44">
      <w:pPr>
        <w:spacing w:after="0"/>
        <w:jc w:val="right"/>
      </w:pPr>
    </w:p>
    <w:p w:rsidR="00902C44" w:rsidRDefault="00902C44" w:rsidP="00902C44">
      <w:pPr>
        <w:spacing w:after="0"/>
        <w:jc w:val="right"/>
      </w:pPr>
      <w:r>
        <w:lastRenderedPageBreak/>
        <w:t>Appendix A-3</w:t>
      </w:r>
    </w:p>
    <w:p w:rsidR="00902C44" w:rsidRPr="00887711" w:rsidRDefault="00902C44" w:rsidP="00902C44">
      <w:pPr>
        <w:spacing w:after="0"/>
        <w:rPr>
          <w:b/>
          <w:sz w:val="24"/>
          <w:szCs w:val="24"/>
        </w:rPr>
      </w:pPr>
      <w:r w:rsidRPr="00887711">
        <w:rPr>
          <w:b/>
          <w:sz w:val="24"/>
          <w:szCs w:val="24"/>
        </w:rPr>
        <w:t>SCTG (Standard Classification of Transported Goods) Codes</w:t>
      </w:r>
    </w:p>
    <w:tbl>
      <w:tblPr>
        <w:tblW w:w="0" w:type="auto"/>
        <w:tblInd w:w="78" w:type="dxa"/>
        <w:tblLayout w:type="fixed"/>
        <w:tblLook w:val="0000" w:firstRow="0" w:lastRow="0" w:firstColumn="0" w:lastColumn="0" w:noHBand="0" w:noVBand="0"/>
      </w:tblPr>
      <w:tblGrid>
        <w:gridCol w:w="864"/>
        <w:gridCol w:w="8480"/>
        <w:gridCol w:w="1396"/>
      </w:tblGrid>
      <w:tr w:rsidR="00902C44" w:rsidRPr="00887711" w:rsidTr="00902C44">
        <w:trPr>
          <w:trHeight w:val="372"/>
        </w:trPr>
        <w:tc>
          <w:tcPr>
            <w:tcW w:w="864" w:type="dxa"/>
            <w:tcBorders>
              <w:top w:val="single" w:sz="6" w:space="0" w:color="auto"/>
              <w:left w:val="single" w:sz="6" w:space="0" w:color="auto"/>
              <w:bottom w:val="double" w:sz="6" w:space="0" w:color="auto"/>
              <w:right w:val="single" w:sz="6" w:space="0" w:color="auto"/>
            </w:tcBorders>
            <w:shd w:val="clear" w:color="auto" w:fill="D9D9D9" w:themeFill="background1" w:themeFillShade="D9"/>
            <w:vAlign w:val="center"/>
          </w:tcPr>
          <w:p w:rsidR="00902C44" w:rsidRPr="00887711" w:rsidRDefault="00902C44" w:rsidP="00902C44">
            <w:pPr>
              <w:autoSpaceDE w:val="0"/>
              <w:autoSpaceDN w:val="0"/>
              <w:adjustRightInd w:val="0"/>
              <w:spacing w:after="0" w:line="240" w:lineRule="auto"/>
              <w:jc w:val="center"/>
              <w:rPr>
                <w:rFonts w:ascii="Calibri" w:hAnsi="Calibri" w:cs="Calibri"/>
                <w:b/>
                <w:color w:val="000000"/>
              </w:rPr>
            </w:pPr>
            <w:r w:rsidRPr="00887711">
              <w:rPr>
                <w:rFonts w:ascii="Calibri" w:hAnsi="Calibri" w:cs="Calibri"/>
                <w:b/>
                <w:color w:val="000000"/>
              </w:rPr>
              <w:t>SCTG</w:t>
            </w:r>
          </w:p>
        </w:tc>
        <w:tc>
          <w:tcPr>
            <w:tcW w:w="8480" w:type="dxa"/>
            <w:tcBorders>
              <w:top w:val="single" w:sz="6" w:space="0" w:color="auto"/>
              <w:left w:val="single" w:sz="6" w:space="0" w:color="auto"/>
              <w:bottom w:val="double" w:sz="6" w:space="0" w:color="auto"/>
              <w:right w:val="single" w:sz="6" w:space="0" w:color="auto"/>
            </w:tcBorders>
            <w:shd w:val="clear" w:color="auto" w:fill="D9D9D9" w:themeFill="background1" w:themeFillShade="D9"/>
            <w:vAlign w:val="center"/>
          </w:tcPr>
          <w:p w:rsidR="00902C44" w:rsidRPr="00887711" w:rsidRDefault="00902C44" w:rsidP="00902C44">
            <w:pPr>
              <w:autoSpaceDE w:val="0"/>
              <w:autoSpaceDN w:val="0"/>
              <w:adjustRightInd w:val="0"/>
              <w:spacing w:after="0" w:line="240" w:lineRule="auto"/>
              <w:jc w:val="center"/>
              <w:rPr>
                <w:rFonts w:ascii="Calibri" w:hAnsi="Calibri" w:cs="Calibri"/>
                <w:b/>
                <w:color w:val="000000"/>
              </w:rPr>
            </w:pPr>
            <w:r w:rsidRPr="00887711">
              <w:rPr>
                <w:rFonts w:ascii="Calibri" w:hAnsi="Calibri" w:cs="Calibri"/>
                <w:b/>
                <w:color w:val="000000"/>
              </w:rPr>
              <w:t>Description</w:t>
            </w:r>
          </w:p>
        </w:tc>
        <w:tc>
          <w:tcPr>
            <w:tcW w:w="1396" w:type="dxa"/>
            <w:tcBorders>
              <w:top w:val="single" w:sz="6" w:space="0" w:color="auto"/>
              <w:left w:val="single" w:sz="6" w:space="0" w:color="auto"/>
              <w:bottom w:val="double" w:sz="6" w:space="0" w:color="auto"/>
              <w:right w:val="single" w:sz="6" w:space="0" w:color="auto"/>
            </w:tcBorders>
            <w:shd w:val="clear" w:color="auto" w:fill="D9D9D9" w:themeFill="background1" w:themeFillShade="D9"/>
            <w:vAlign w:val="center"/>
          </w:tcPr>
          <w:p w:rsidR="00902C44" w:rsidRPr="00887711" w:rsidRDefault="00902C44" w:rsidP="00902C44">
            <w:pPr>
              <w:autoSpaceDE w:val="0"/>
              <w:autoSpaceDN w:val="0"/>
              <w:adjustRightInd w:val="0"/>
              <w:spacing w:after="0" w:line="240" w:lineRule="auto"/>
              <w:jc w:val="center"/>
              <w:rPr>
                <w:rFonts w:ascii="Calibri" w:hAnsi="Calibri" w:cs="Calibri"/>
                <w:b/>
                <w:color w:val="000000"/>
              </w:rPr>
            </w:pPr>
            <w:r w:rsidRPr="00887711">
              <w:rPr>
                <w:rFonts w:ascii="Calibri" w:hAnsi="Calibri" w:cs="Calibri"/>
                <w:b/>
                <w:color w:val="000000"/>
              </w:rPr>
              <w:t>SCTG Group</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01</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Animals and Fish (live)</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01-05</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02</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Cereal Grains (includes seed)</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03</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Agricultural Products (excludes Animal Feed, Cereal Grains, and Forage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04</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Animal Feed, Eggs, Honey, and Other Products of Animal Origin</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05</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Meat, Poultry, Fish, Seafood, and Their Preparations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06</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Milled Grain Products and Preparations, and Bakery Products</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06-09</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07</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Other Prepared Foodstuffs, and Fats and Oils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08</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Alcoholic Beverages and Denatured Alcohol</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09</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Tobacco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10</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Monumental or Building Stone</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10-14</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11</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Natural Sands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12</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Gravel and Crushed Stone (excludes Dolomite and Slate)</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13</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Other Non-Metallic Minerals not elsewhere classified</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single" w:sz="2" w:space="0" w:color="auto"/>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14</w:t>
            </w:r>
          </w:p>
        </w:tc>
        <w:tc>
          <w:tcPr>
            <w:tcW w:w="8480" w:type="dxa"/>
            <w:tcBorders>
              <w:top w:val="nil"/>
              <w:left w:val="single" w:sz="6" w:space="0" w:color="auto"/>
              <w:bottom w:val="single" w:sz="2" w:space="0" w:color="auto"/>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Metallic Ores and Concentrates</w:t>
            </w:r>
          </w:p>
        </w:tc>
        <w:tc>
          <w:tcPr>
            <w:tcW w:w="1396" w:type="dxa"/>
            <w:tcBorders>
              <w:top w:val="nil"/>
              <w:left w:val="single" w:sz="6" w:space="0" w:color="auto"/>
              <w:bottom w:val="single" w:sz="2" w:space="0" w:color="auto"/>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15</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Coal</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15-19</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16</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Crude Petroleum</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17</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Gasoline, Aviation Turbine Fuel, and Ethanol (includes Kerosene, and Fuel Alcohols)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18</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Fuel Oils (includes Diesel, Bunker C, and Biodiesel)</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19</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Other Coal and Petroleum Products, not elsewhere classified</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20</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Basic Chemicals</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20-24</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21</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Pharmaceutical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22</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Fertilizers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23</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Other Chemical Products and Preparations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24</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Plastics and Rubber</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25</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Logs and Other Wood in the Rough</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25-30</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26</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Wood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27</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Pulp, Newsprint, Paper, and Paperboard</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28</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Paper or Paperboard Articles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29</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Printed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30</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Textiles, Leather, and Articles of Textiles or Leather</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31</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Non-Metallic Mineral Products</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31-34</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32</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Base Metal in Primary or Semi-Finished Forms and in Finished Basic Shapes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33</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Articles of Base Metal</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34</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Machinery</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35</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Electronic and Other Electrical Equipment and Components, and Office Equipment</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35-38</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36</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Motorized and Other Vehicles (includes parts)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37</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Transportation Equipment, not elsewhere classified</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38</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Precision Instruments and Apparatus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39</w:t>
            </w:r>
          </w:p>
        </w:tc>
        <w:tc>
          <w:tcPr>
            <w:tcW w:w="8480"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Furniture, Mattresses and Mattress Supports, Lamps, Lighting Fittings, and Illuminated Signs</w:t>
            </w:r>
          </w:p>
        </w:tc>
        <w:tc>
          <w:tcPr>
            <w:tcW w:w="1396" w:type="dxa"/>
            <w:tcBorders>
              <w:top w:val="single" w:sz="2" w:space="0" w:color="auto"/>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39-99</w:t>
            </w: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40</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Miscellaneous Manufactured Products</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41</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Waste and Scrap (excludes of agriculture or food, see 041xx)</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43</w:t>
            </w:r>
          </w:p>
        </w:tc>
        <w:tc>
          <w:tcPr>
            <w:tcW w:w="8480"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Mixed Freight</w:t>
            </w:r>
          </w:p>
        </w:tc>
        <w:tc>
          <w:tcPr>
            <w:tcW w:w="1396" w:type="dxa"/>
            <w:tcBorders>
              <w:top w:val="nil"/>
              <w:left w:val="single" w:sz="6" w:space="0" w:color="auto"/>
              <w:bottom w:val="nil"/>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nil"/>
              <w:left w:val="single" w:sz="6" w:space="0" w:color="auto"/>
              <w:bottom w:val="single" w:sz="6" w:space="0" w:color="auto"/>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sidRPr="00887711">
              <w:rPr>
                <w:rFonts w:ascii="Calibri" w:hAnsi="Calibri" w:cs="Calibri"/>
                <w:color w:val="000000"/>
              </w:rPr>
              <w:t>99</w:t>
            </w:r>
          </w:p>
        </w:tc>
        <w:tc>
          <w:tcPr>
            <w:tcW w:w="8480" w:type="dxa"/>
            <w:tcBorders>
              <w:top w:val="nil"/>
              <w:left w:val="single" w:sz="6" w:space="0" w:color="auto"/>
              <w:bottom w:val="single" w:sz="6" w:space="0" w:color="auto"/>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sidRPr="00887711">
              <w:rPr>
                <w:rFonts w:ascii="Calibri" w:hAnsi="Calibri" w:cs="Calibri"/>
                <w:color w:val="000000"/>
              </w:rPr>
              <w:t>Missing Code</w:t>
            </w:r>
          </w:p>
        </w:tc>
        <w:tc>
          <w:tcPr>
            <w:tcW w:w="1396" w:type="dxa"/>
            <w:tcBorders>
              <w:top w:val="nil"/>
              <w:left w:val="single" w:sz="6" w:space="0" w:color="auto"/>
              <w:bottom w:val="single" w:sz="6" w:space="0" w:color="auto"/>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r w:rsidR="00902C44" w:rsidRPr="00887711" w:rsidTr="00902C44">
        <w:trPr>
          <w:trHeight w:val="288"/>
        </w:trPr>
        <w:tc>
          <w:tcPr>
            <w:tcW w:w="864" w:type="dxa"/>
            <w:tcBorders>
              <w:top w:val="single" w:sz="6" w:space="0" w:color="auto"/>
              <w:left w:val="single" w:sz="6" w:space="0" w:color="auto"/>
              <w:bottom w:val="single" w:sz="6" w:space="0" w:color="auto"/>
              <w:right w:val="single" w:sz="6" w:space="0" w:color="auto"/>
            </w:tcBorders>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r>
              <w:rPr>
                <w:rFonts w:ascii="Calibri" w:hAnsi="Calibri" w:cs="Calibri"/>
                <w:color w:val="000000"/>
              </w:rPr>
              <w:t>00</w:t>
            </w:r>
          </w:p>
        </w:tc>
        <w:tc>
          <w:tcPr>
            <w:tcW w:w="8480" w:type="dxa"/>
            <w:tcBorders>
              <w:top w:val="single" w:sz="6" w:space="0" w:color="auto"/>
              <w:left w:val="single" w:sz="6" w:space="0" w:color="auto"/>
              <w:bottom w:val="single" w:sz="6" w:space="0" w:color="auto"/>
              <w:right w:val="single" w:sz="6" w:space="0" w:color="auto"/>
            </w:tcBorders>
          </w:tcPr>
          <w:p w:rsidR="00902C44" w:rsidRPr="00887711" w:rsidRDefault="00902C44" w:rsidP="00902C44">
            <w:pPr>
              <w:autoSpaceDE w:val="0"/>
              <w:autoSpaceDN w:val="0"/>
              <w:adjustRightInd w:val="0"/>
              <w:spacing w:after="0" w:line="240" w:lineRule="auto"/>
              <w:rPr>
                <w:rFonts w:ascii="Calibri" w:hAnsi="Calibri" w:cs="Calibri"/>
                <w:color w:val="000000"/>
              </w:rPr>
            </w:pPr>
            <w:r>
              <w:rPr>
                <w:rFonts w:ascii="Calibri" w:hAnsi="Calibri" w:cs="Calibri"/>
                <w:color w:val="000000"/>
              </w:rPr>
              <w:t>Commodity code suppressed</w:t>
            </w:r>
          </w:p>
        </w:tc>
        <w:tc>
          <w:tcPr>
            <w:tcW w:w="13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902C44" w:rsidRPr="00887711" w:rsidRDefault="00902C44" w:rsidP="00902C44">
            <w:pPr>
              <w:autoSpaceDE w:val="0"/>
              <w:autoSpaceDN w:val="0"/>
              <w:adjustRightInd w:val="0"/>
              <w:spacing w:after="0" w:line="240" w:lineRule="auto"/>
              <w:jc w:val="center"/>
              <w:rPr>
                <w:rFonts w:ascii="Calibri" w:hAnsi="Calibri" w:cs="Calibri"/>
                <w:color w:val="000000"/>
              </w:rPr>
            </w:pPr>
          </w:p>
        </w:tc>
      </w:tr>
    </w:tbl>
    <w:p w:rsidR="00902C44" w:rsidRPr="0086046D" w:rsidRDefault="00902C44" w:rsidP="00902C44">
      <w:pPr>
        <w:spacing w:after="0"/>
        <w:rPr>
          <w:sz w:val="16"/>
          <w:szCs w:val="16"/>
        </w:rPr>
      </w:pPr>
    </w:p>
    <w:p w:rsidR="00902C44" w:rsidRDefault="00902C44" w:rsidP="000C02D0">
      <w:pPr>
        <w:spacing w:after="0" w:line="240" w:lineRule="auto"/>
        <w:ind w:left="720" w:hanging="720"/>
      </w:pPr>
      <w:r>
        <w:t>NOTE:</w:t>
      </w:r>
      <w:r>
        <w:tab/>
        <w:t xml:space="preserve">For some shipments the 2-digit SCTG was replaced with the SCTG Group (for example, </w:t>
      </w:r>
      <w:r w:rsidR="00F27E48">
        <w:t xml:space="preserve">SCTG = </w:t>
      </w:r>
      <w:r>
        <w:t>“35</w:t>
      </w:r>
      <w:r w:rsidR="00F27E48">
        <w:t>-38”) or suppressed completely (SCTG = “00”)</w:t>
      </w:r>
    </w:p>
    <w:p w:rsidR="00902C44" w:rsidRDefault="00902C44" w:rsidP="00902C44">
      <w:pPr>
        <w:spacing w:after="0"/>
        <w:jc w:val="right"/>
      </w:pPr>
      <w:r>
        <w:lastRenderedPageBreak/>
        <w:t xml:space="preserve">Appendix A-4 </w:t>
      </w:r>
    </w:p>
    <w:p w:rsidR="00902C44" w:rsidRPr="00887711" w:rsidRDefault="00902C44" w:rsidP="00902C44">
      <w:pPr>
        <w:spacing w:after="0"/>
        <w:rPr>
          <w:b/>
          <w:sz w:val="24"/>
          <w:szCs w:val="24"/>
        </w:rPr>
      </w:pPr>
      <w:r>
        <w:rPr>
          <w:b/>
          <w:sz w:val="24"/>
          <w:szCs w:val="24"/>
        </w:rPr>
        <w:t>Mode of Transportation</w:t>
      </w:r>
      <w:r w:rsidRPr="00887711">
        <w:rPr>
          <w:b/>
          <w:sz w:val="24"/>
          <w:szCs w:val="24"/>
        </w:rPr>
        <w:t xml:space="preserve"> Codes</w:t>
      </w:r>
    </w:p>
    <w:tbl>
      <w:tblPr>
        <w:tblW w:w="0" w:type="auto"/>
        <w:tblInd w:w="78" w:type="dxa"/>
        <w:tblLayout w:type="fixed"/>
        <w:tblLook w:val="0000" w:firstRow="0" w:lastRow="0" w:firstColumn="0" w:lastColumn="0" w:noHBand="0" w:noVBand="0"/>
      </w:tblPr>
      <w:tblGrid>
        <w:gridCol w:w="758"/>
        <w:gridCol w:w="3142"/>
      </w:tblGrid>
      <w:tr w:rsidR="00902C44" w:rsidRPr="00205D47" w:rsidTr="00902C44">
        <w:trPr>
          <w:trHeight w:val="595"/>
        </w:trPr>
        <w:tc>
          <w:tcPr>
            <w:tcW w:w="758"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Pr="004D7C83" w:rsidRDefault="00902C44" w:rsidP="00902C44">
            <w:pPr>
              <w:autoSpaceDE w:val="0"/>
              <w:autoSpaceDN w:val="0"/>
              <w:adjustRightInd w:val="0"/>
              <w:spacing w:after="0" w:line="240" w:lineRule="auto"/>
              <w:jc w:val="center"/>
              <w:rPr>
                <w:rFonts w:ascii="Calibri" w:hAnsi="Calibri" w:cs="Calibri"/>
                <w:b/>
                <w:color w:val="000000"/>
              </w:rPr>
            </w:pPr>
            <w:r w:rsidRPr="004D7C83">
              <w:rPr>
                <w:rFonts w:ascii="Calibri" w:hAnsi="Calibri" w:cs="Calibri"/>
                <w:b/>
                <w:color w:val="000000"/>
              </w:rPr>
              <w:t>Mode Code</w:t>
            </w:r>
          </w:p>
        </w:tc>
        <w:tc>
          <w:tcPr>
            <w:tcW w:w="3142" w:type="dxa"/>
            <w:tcBorders>
              <w:top w:val="single" w:sz="6" w:space="0" w:color="auto"/>
              <w:left w:val="single" w:sz="6" w:space="0" w:color="auto"/>
              <w:bottom w:val="double" w:sz="6" w:space="0" w:color="auto"/>
              <w:right w:val="single" w:sz="6" w:space="0" w:color="auto"/>
            </w:tcBorders>
            <w:shd w:val="clear" w:color="auto" w:fill="D9D9D9" w:themeFill="background1" w:themeFillShade="D9"/>
          </w:tcPr>
          <w:p w:rsidR="00902C44" w:rsidRPr="004D7C83" w:rsidRDefault="00902C44" w:rsidP="00902C44">
            <w:pPr>
              <w:autoSpaceDE w:val="0"/>
              <w:autoSpaceDN w:val="0"/>
              <w:adjustRightInd w:val="0"/>
              <w:spacing w:after="0" w:line="240" w:lineRule="auto"/>
              <w:jc w:val="center"/>
              <w:rPr>
                <w:rFonts w:ascii="Calibri" w:hAnsi="Calibri" w:cs="Calibri"/>
                <w:b/>
                <w:color w:val="000000"/>
              </w:rPr>
            </w:pPr>
            <w:r w:rsidRPr="004D7C83">
              <w:rPr>
                <w:b/>
                <w:noProof/>
              </w:rPr>
              <mc:AlternateContent>
                <mc:Choice Requires="wps">
                  <w:drawing>
                    <wp:anchor distT="0" distB="0" distL="114300" distR="114300" simplePos="0" relativeHeight="251659264" behindDoc="0" locked="0" layoutInCell="1" allowOverlap="1" wp14:anchorId="2BC0EE65" wp14:editId="23866E09">
                      <wp:simplePos x="0" y="0"/>
                      <wp:positionH relativeFrom="column">
                        <wp:posOffset>2336164</wp:posOffset>
                      </wp:positionH>
                      <wp:positionV relativeFrom="paragraph">
                        <wp:posOffset>38735</wp:posOffset>
                      </wp:positionV>
                      <wp:extent cx="3629025" cy="37623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762375"/>
                              </a:xfrm>
                              <a:prstGeom prst="rect">
                                <a:avLst/>
                              </a:prstGeom>
                              <a:solidFill>
                                <a:srgbClr val="FFFFFF"/>
                              </a:solidFill>
                              <a:ln w="9525">
                                <a:noFill/>
                                <a:miter lim="800000"/>
                                <a:headEnd/>
                                <a:tailEnd/>
                              </a:ln>
                            </wps:spPr>
                            <wps:txbx>
                              <w:txbxContent>
                                <w:p w:rsidR="003D76C1" w:rsidRDefault="003D76C1" w:rsidP="002A0D0A">
                                  <w:pPr>
                                    <w:tabs>
                                      <w:tab w:val="left" w:pos="900"/>
                                    </w:tabs>
                                    <w:spacing w:after="0"/>
                                    <w:ind w:left="720" w:hanging="720"/>
                                    <w:jc w:val="both"/>
                                  </w:pPr>
                                  <w:r>
                                    <w:t xml:space="preserve">NOTE: </w:t>
                                  </w:r>
                                  <w:r>
                                    <w:tab/>
                                    <w:t xml:space="preserve">The vast majority of shipments in the PUM File are assigned the most detailed mode code listed in the table to the left (in </w:t>
                                  </w:r>
                                  <w:r w:rsidRPr="003542B7">
                                    <w:rPr>
                                      <w:rFonts w:ascii="Arial" w:hAnsi="Arial" w:cs="Arial"/>
                                      <w:b/>
                                    </w:rPr>
                                    <w:t>bold</w:t>
                                  </w:r>
                                  <w:r>
                                    <w:t xml:space="preserve">).  However, for some shipments, it was necessary to recode the Mode to a less detailed code.  For example, the Mode of a shipment would be recoded from Great Lakes (09) to the less detailed code, Water (07) or even less detailed, Single Mode (02). In very rare circumstances, the Mode of a shipment was suppressed entirely (00).  </w:t>
                                  </w:r>
                                </w:p>
                                <w:p w:rsidR="003D76C1" w:rsidRDefault="003D76C1" w:rsidP="002A0D0A">
                                  <w:pPr>
                                    <w:tabs>
                                      <w:tab w:val="left" w:pos="900"/>
                                    </w:tabs>
                                    <w:spacing w:after="0"/>
                                    <w:ind w:left="720" w:hanging="720"/>
                                    <w:jc w:val="both"/>
                                  </w:pPr>
                                </w:p>
                                <w:p w:rsidR="003D76C1" w:rsidRDefault="003D76C1" w:rsidP="003D2431">
                                  <w:pPr>
                                    <w:tabs>
                                      <w:tab w:val="left" w:pos="900"/>
                                    </w:tabs>
                                    <w:spacing w:after="0"/>
                                    <w:ind w:left="720" w:hanging="720"/>
                                    <w:jc w:val="both"/>
                                  </w:pPr>
                                  <w:r>
                                    <w:tab/>
                                    <w:t>The table below shows the sequential collapsing pattern used when it was not possible to retain the most detailed Mode code.  Mode 20, Non-parcel multiple mode, is not a Mode level included in the published CFS tables.</w:t>
                                  </w:r>
                                </w:p>
                                <w:p w:rsidR="003D76C1" w:rsidRDefault="003D76C1" w:rsidP="00902C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0EE65" id="_x0000_t202" coordsize="21600,21600" o:spt="202" path="m,l,21600r21600,l21600,xe">
                      <v:stroke joinstyle="miter"/>
                      <v:path gradientshapeok="t" o:connecttype="rect"/>
                    </v:shapetype>
                    <v:shape id="Text Box 2" o:spid="_x0000_s1026" type="#_x0000_t202" style="position:absolute;left:0;text-align:left;margin-left:183.95pt;margin-top:3.05pt;width:285.75pt;height:29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" stroked="f">
                      <v:textbox>
                        <w:txbxContent>
                          <w:p w:rsidR="003D76C1" w:rsidRDefault="003D76C1" w:rsidP="002A0D0A">
                            <w:pPr>
                              <w:tabs>
                                <w:tab w:val="left" w:pos="900"/>
                              </w:tabs>
                              <w:spacing w:after="0"/>
                              <w:ind w:left="720" w:hanging="720"/>
                              <w:jc w:val="both"/>
                            </w:pPr>
                            <w:r>
                              <w:t xml:space="preserve">NOTE: </w:t>
                            </w:r>
                            <w:r>
                              <w:tab/>
                              <w:t xml:space="preserve">The vast majority of shipments in the PUM File are assigned the most detailed mode code listed in the table to the left (in </w:t>
                            </w:r>
                            <w:r w:rsidRPr="003542B7">
                              <w:rPr>
                                <w:rFonts w:ascii="Arial" w:hAnsi="Arial" w:cs="Arial"/>
                                <w:b/>
                              </w:rPr>
                              <w:t>bold</w:t>
                            </w:r>
                            <w:r>
                              <w:t xml:space="preserve">).  However, for some shipments, it was necessary to recode the Mode to a less detailed code.  For example, the Mode of a shipment would be recoded from Great Lakes (09) to the less detailed code, Water (07) or even less detailed, Single Mode (02). In very rare circumstances, the Mode of a shipment was suppressed entirely (00).  </w:t>
                            </w:r>
                          </w:p>
                          <w:p w:rsidR="003D76C1" w:rsidRDefault="003D76C1" w:rsidP="002A0D0A">
                            <w:pPr>
                              <w:tabs>
                                <w:tab w:val="left" w:pos="900"/>
                              </w:tabs>
                              <w:spacing w:after="0"/>
                              <w:ind w:left="720" w:hanging="720"/>
                              <w:jc w:val="both"/>
                            </w:pPr>
                          </w:p>
                          <w:p w:rsidR="003D76C1" w:rsidRDefault="003D76C1" w:rsidP="003D2431">
                            <w:pPr>
                              <w:tabs>
                                <w:tab w:val="left" w:pos="900"/>
                              </w:tabs>
                              <w:spacing w:after="0"/>
                              <w:ind w:left="720" w:hanging="720"/>
                              <w:jc w:val="both"/>
                            </w:pPr>
                            <w:r>
                              <w:tab/>
                              <w:t>The table below shows the sequential collapsing pattern used when it was not possible to retain the most detailed Mode code.  Mode 20, Non-parcel multiple mode, is not a Mode level included in the published CFS tables.</w:t>
                            </w:r>
                          </w:p>
                          <w:p w:rsidR="003D76C1" w:rsidRDefault="003D76C1" w:rsidP="00902C44"/>
                        </w:txbxContent>
                      </v:textbox>
                    </v:shape>
                  </w:pict>
                </mc:Fallback>
              </mc:AlternateContent>
            </w:r>
            <w:r w:rsidRPr="004D7C83">
              <w:rPr>
                <w:rFonts w:ascii="Calibri" w:hAnsi="Calibri" w:cs="Calibri"/>
                <w:b/>
                <w:color w:val="000000"/>
              </w:rPr>
              <w:t>Mode of transportation Description</w:t>
            </w:r>
          </w:p>
        </w:tc>
      </w:tr>
      <w:tr w:rsidR="003542B7" w:rsidRPr="003542B7" w:rsidTr="00902C44">
        <w:trPr>
          <w:trHeight w:val="305"/>
        </w:trPr>
        <w:tc>
          <w:tcPr>
            <w:tcW w:w="758" w:type="dxa"/>
            <w:tcBorders>
              <w:top w:val="single" w:sz="2" w:space="0" w:color="auto"/>
              <w:left w:val="single" w:sz="6" w:space="0" w:color="auto"/>
              <w:bottom w:val="nil"/>
              <w:right w:val="single" w:sz="6" w:space="0" w:color="auto"/>
            </w:tcBorders>
          </w:tcPr>
          <w:p w:rsidR="00902C44" w:rsidRPr="009D2794" w:rsidRDefault="00902C44" w:rsidP="00902C44">
            <w:pPr>
              <w:autoSpaceDE w:val="0"/>
              <w:autoSpaceDN w:val="0"/>
              <w:adjustRightInd w:val="0"/>
              <w:spacing w:after="0" w:line="240" w:lineRule="auto"/>
              <w:jc w:val="center"/>
              <w:rPr>
                <w:rFonts w:ascii="Calibri" w:hAnsi="Calibri" w:cs="Calibri"/>
                <w:i/>
                <w:color w:val="000000"/>
              </w:rPr>
            </w:pPr>
            <w:r w:rsidRPr="009D2794">
              <w:rPr>
                <w:rFonts w:ascii="Calibri" w:hAnsi="Calibri" w:cs="Calibri"/>
                <w:i/>
                <w:color w:val="000000"/>
              </w:rPr>
              <w:t>02</w:t>
            </w:r>
          </w:p>
        </w:tc>
        <w:tc>
          <w:tcPr>
            <w:tcW w:w="3142" w:type="dxa"/>
            <w:tcBorders>
              <w:top w:val="single" w:sz="2" w:space="0" w:color="auto"/>
              <w:left w:val="single" w:sz="6" w:space="0" w:color="auto"/>
              <w:bottom w:val="nil"/>
              <w:right w:val="single" w:sz="6" w:space="0" w:color="auto"/>
            </w:tcBorders>
          </w:tcPr>
          <w:p w:rsidR="00902C44" w:rsidRPr="009D2794" w:rsidRDefault="00902C44" w:rsidP="00902C44">
            <w:pPr>
              <w:tabs>
                <w:tab w:val="left" w:pos="304"/>
                <w:tab w:val="left" w:pos="664"/>
              </w:tabs>
              <w:autoSpaceDE w:val="0"/>
              <w:autoSpaceDN w:val="0"/>
              <w:adjustRightInd w:val="0"/>
              <w:spacing w:after="0" w:line="240" w:lineRule="auto"/>
              <w:rPr>
                <w:rFonts w:ascii="Calibri" w:hAnsi="Calibri" w:cs="Calibri"/>
                <w:i/>
                <w:color w:val="000000" w:themeColor="text1"/>
              </w:rPr>
            </w:pPr>
            <w:r w:rsidRPr="009D2794">
              <w:rPr>
                <w:rFonts w:ascii="Calibri" w:hAnsi="Calibri" w:cs="Calibri"/>
                <w:i/>
                <w:color w:val="000000" w:themeColor="text1"/>
              </w:rPr>
              <w:t>Single mode</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9D2794" w:rsidRDefault="00902C44" w:rsidP="00902C44">
            <w:pPr>
              <w:autoSpaceDE w:val="0"/>
              <w:autoSpaceDN w:val="0"/>
              <w:adjustRightInd w:val="0"/>
              <w:spacing w:after="0" w:line="240" w:lineRule="auto"/>
              <w:jc w:val="center"/>
              <w:rPr>
                <w:rFonts w:ascii="Calibri" w:hAnsi="Calibri" w:cs="Calibri"/>
                <w:i/>
                <w:color w:val="000000"/>
              </w:rPr>
            </w:pPr>
            <w:r w:rsidRPr="009D2794">
              <w:rPr>
                <w:rFonts w:ascii="Calibri" w:hAnsi="Calibri" w:cs="Calibri"/>
                <w:i/>
                <w:color w:val="000000"/>
              </w:rPr>
              <w:t>03</w:t>
            </w:r>
          </w:p>
        </w:tc>
        <w:tc>
          <w:tcPr>
            <w:tcW w:w="3142" w:type="dxa"/>
            <w:tcBorders>
              <w:top w:val="nil"/>
              <w:left w:val="single" w:sz="6" w:space="0" w:color="auto"/>
              <w:bottom w:val="nil"/>
              <w:right w:val="single" w:sz="6" w:space="0" w:color="auto"/>
            </w:tcBorders>
          </w:tcPr>
          <w:p w:rsidR="00902C44" w:rsidRPr="009D2794" w:rsidRDefault="00902C44" w:rsidP="00902C44">
            <w:pPr>
              <w:tabs>
                <w:tab w:val="left" w:pos="304"/>
                <w:tab w:val="left" w:pos="664"/>
              </w:tabs>
              <w:autoSpaceDE w:val="0"/>
              <w:autoSpaceDN w:val="0"/>
              <w:adjustRightInd w:val="0"/>
              <w:spacing w:after="0" w:line="240" w:lineRule="auto"/>
              <w:ind w:firstLine="334"/>
              <w:rPr>
                <w:rFonts w:ascii="Calibri" w:hAnsi="Calibri" w:cs="Calibri"/>
                <w:i/>
                <w:color w:val="000000" w:themeColor="text1"/>
              </w:rPr>
            </w:pPr>
            <w:r w:rsidRPr="009D2794">
              <w:rPr>
                <w:rFonts w:ascii="Calibri" w:hAnsi="Calibri" w:cs="Calibri"/>
                <w:i/>
                <w:color w:val="000000" w:themeColor="text1"/>
              </w:rPr>
              <w:t>Truck</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04</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For-hire truck</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05</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Private truck</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06</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334"/>
              <w:rPr>
                <w:rFonts w:ascii="Arial" w:hAnsi="Arial" w:cs="Arial"/>
                <w:b/>
                <w:color w:val="000000" w:themeColor="text1"/>
              </w:rPr>
            </w:pPr>
            <w:r w:rsidRPr="003542B7">
              <w:rPr>
                <w:rFonts w:ascii="Arial" w:hAnsi="Arial" w:cs="Arial"/>
                <w:b/>
                <w:color w:val="000000" w:themeColor="text1"/>
              </w:rPr>
              <w:t>Rail</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9D2794" w:rsidRDefault="00902C44" w:rsidP="00902C44">
            <w:pPr>
              <w:autoSpaceDE w:val="0"/>
              <w:autoSpaceDN w:val="0"/>
              <w:adjustRightInd w:val="0"/>
              <w:spacing w:after="0" w:line="240" w:lineRule="auto"/>
              <w:jc w:val="center"/>
              <w:rPr>
                <w:rFonts w:ascii="Calibri" w:hAnsi="Calibri" w:cs="Calibri"/>
                <w:i/>
                <w:color w:val="000000"/>
              </w:rPr>
            </w:pPr>
            <w:r w:rsidRPr="009D2794">
              <w:rPr>
                <w:rFonts w:ascii="Calibri" w:hAnsi="Calibri" w:cs="Calibri"/>
                <w:i/>
                <w:color w:val="000000"/>
              </w:rPr>
              <w:t>07</w:t>
            </w:r>
          </w:p>
        </w:tc>
        <w:tc>
          <w:tcPr>
            <w:tcW w:w="3142" w:type="dxa"/>
            <w:tcBorders>
              <w:top w:val="nil"/>
              <w:left w:val="single" w:sz="6" w:space="0" w:color="auto"/>
              <w:bottom w:val="nil"/>
              <w:right w:val="single" w:sz="6" w:space="0" w:color="auto"/>
            </w:tcBorders>
          </w:tcPr>
          <w:p w:rsidR="00902C44" w:rsidRPr="009D2794" w:rsidRDefault="00902C44" w:rsidP="00902C44">
            <w:pPr>
              <w:tabs>
                <w:tab w:val="left" w:pos="304"/>
                <w:tab w:val="left" w:pos="664"/>
              </w:tabs>
              <w:autoSpaceDE w:val="0"/>
              <w:autoSpaceDN w:val="0"/>
              <w:adjustRightInd w:val="0"/>
              <w:spacing w:after="0" w:line="240" w:lineRule="auto"/>
              <w:ind w:firstLine="334"/>
              <w:rPr>
                <w:rFonts w:ascii="Calibri" w:hAnsi="Calibri" w:cs="Calibri"/>
                <w:i/>
                <w:color w:val="000000" w:themeColor="text1"/>
              </w:rPr>
            </w:pPr>
            <w:r w:rsidRPr="009D2794">
              <w:rPr>
                <w:rFonts w:ascii="Calibri" w:hAnsi="Calibri" w:cs="Calibri"/>
                <w:i/>
                <w:color w:val="000000" w:themeColor="text1"/>
              </w:rPr>
              <w:t>Water</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08</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Inland Water</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09</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Great Lakes</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10</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Deep Sea</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101</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Multiple Waterways</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11</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334"/>
              <w:rPr>
                <w:rFonts w:ascii="Arial" w:hAnsi="Arial" w:cs="Arial"/>
                <w:b/>
                <w:color w:val="000000" w:themeColor="text1"/>
              </w:rPr>
            </w:pPr>
            <w:r w:rsidRPr="003542B7">
              <w:rPr>
                <w:rFonts w:ascii="Arial" w:hAnsi="Arial" w:cs="Arial"/>
                <w:b/>
                <w:color w:val="000000" w:themeColor="text1"/>
              </w:rPr>
              <w:t>Air (incl truck &amp; air)</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12</w:t>
            </w:r>
          </w:p>
          <w:p w:rsidR="003542B7" w:rsidRPr="004259E1" w:rsidRDefault="003542B7"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19</w:t>
            </w:r>
          </w:p>
        </w:tc>
        <w:tc>
          <w:tcPr>
            <w:tcW w:w="3142" w:type="dxa"/>
            <w:tcBorders>
              <w:top w:val="nil"/>
              <w:left w:val="single" w:sz="6" w:space="0" w:color="auto"/>
              <w:bottom w:val="nil"/>
              <w:right w:val="single" w:sz="6" w:space="0" w:color="auto"/>
            </w:tcBorders>
          </w:tcPr>
          <w:p w:rsidR="00902C44" w:rsidRDefault="00902C44" w:rsidP="00902C44">
            <w:pPr>
              <w:tabs>
                <w:tab w:val="left" w:pos="304"/>
                <w:tab w:val="left" w:pos="664"/>
              </w:tabs>
              <w:autoSpaceDE w:val="0"/>
              <w:autoSpaceDN w:val="0"/>
              <w:adjustRightInd w:val="0"/>
              <w:spacing w:after="0" w:line="240" w:lineRule="auto"/>
              <w:ind w:firstLine="334"/>
              <w:rPr>
                <w:rFonts w:ascii="Arial" w:hAnsi="Arial" w:cs="Arial"/>
                <w:b/>
                <w:color w:val="000000" w:themeColor="text1"/>
              </w:rPr>
            </w:pPr>
            <w:r w:rsidRPr="003542B7">
              <w:rPr>
                <w:rFonts w:ascii="Arial" w:hAnsi="Arial" w:cs="Arial"/>
                <w:b/>
                <w:color w:val="000000" w:themeColor="text1"/>
              </w:rPr>
              <w:t>Pipeline</w:t>
            </w:r>
          </w:p>
          <w:p w:rsidR="003542B7" w:rsidRPr="003542B7" w:rsidRDefault="003542B7" w:rsidP="00902C44">
            <w:pPr>
              <w:tabs>
                <w:tab w:val="left" w:pos="304"/>
                <w:tab w:val="left" w:pos="664"/>
              </w:tabs>
              <w:autoSpaceDE w:val="0"/>
              <w:autoSpaceDN w:val="0"/>
              <w:adjustRightInd w:val="0"/>
              <w:spacing w:after="0" w:line="240" w:lineRule="auto"/>
              <w:ind w:firstLine="334"/>
              <w:rPr>
                <w:rFonts w:ascii="Arial" w:hAnsi="Arial" w:cs="Arial"/>
                <w:b/>
                <w:color w:val="000000" w:themeColor="text1"/>
              </w:rPr>
            </w:pPr>
            <w:r w:rsidRPr="003542B7">
              <w:rPr>
                <w:rFonts w:ascii="Arial" w:hAnsi="Arial" w:cs="Arial"/>
                <w:b/>
                <w:color w:val="000000" w:themeColor="text1"/>
              </w:rPr>
              <w:t>Other mode</w:t>
            </w:r>
          </w:p>
        </w:tc>
      </w:tr>
      <w:tr w:rsidR="003542B7" w:rsidRPr="003542B7" w:rsidTr="00902C44">
        <w:trPr>
          <w:trHeight w:val="290"/>
        </w:trPr>
        <w:tc>
          <w:tcPr>
            <w:tcW w:w="758" w:type="dxa"/>
            <w:tcBorders>
              <w:top w:val="single" w:sz="2" w:space="0" w:color="auto"/>
              <w:left w:val="single" w:sz="6" w:space="0" w:color="auto"/>
              <w:bottom w:val="nil"/>
              <w:right w:val="single" w:sz="6" w:space="0" w:color="auto"/>
            </w:tcBorders>
          </w:tcPr>
          <w:p w:rsidR="00902C44" w:rsidRPr="009D2794" w:rsidRDefault="00902C44" w:rsidP="00902C44">
            <w:pPr>
              <w:autoSpaceDE w:val="0"/>
              <w:autoSpaceDN w:val="0"/>
              <w:adjustRightInd w:val="0"/>
              <w:spacing w:after="0" w:line="240" w:lineRule="auto"/>
              <w:jc w:val="center"/>
              <w:rPr>
                <w:rFonts w:ascii="Calibri" w:hAnsi="Calibri" w:cs="Calibri"/>
                <w:i/>
                <w:color w:val="000000"/>
              </w:rPr>
            </w:pPr>
            <w:r w:rsidRPr="009D2794">
              <w:rPr>
                <w:rFonts w:ascii="Calibri" w:hAnsi="Calibri" w:cs="Calibri"/>
                <w:i/>
                <w:color w:val="000000"/>
              </w:rPr>
              <w:t>13</w:t>
            </w:r>
          </w:p>
        </w:tc>
        <w:tc>
          <w:tcPr>
            <w:tcW w:w="3142" w:type="dxa"/>
            <w:tcBorders>
              <w:top w:val="single" w:sz="2" w:space="0" w:color="auto"/>
              <w:left w:val="single" w:sz="6" w:space="0" w:color="auto"/>
              <w:bottom w:val="nil"/>
              <w:right w:val="single" w:sz="6" w:space="0" w:color="auto"/>
            </w:tcBorders>
          </w:tcPr>
          <w:p w:rsidR="00902C44" w:rsidRPr="009D2794" w:rsidRDefault="00902C44" w:rsidP="00902C44">
            <w:pPr>
              <w:tabs>
                <w:tab w:val="left" w:pos="304"/>
                <w:tab w:val="left" w:pos="664"/>
              </w:tabs>
              <w:autoSpaceDE w:val="0"/>
              <w:autoSpaceDN w:val="0"/>
              <w:adjustRightInd w:val="0"/>
              <w:spacing w:after="0" w:line="240" w:lineRule="auto"/>
              <w:rPr>
                <w:rFonts w:ascii="Calibri" w:hAnsi="Calibri" w:cs="Calibri"/>
                <w:i/>
                <w:color w:val="000000" w:themeColor="text1"/>
              </w:rPr>
            </w:pPr>
            <w:r w:rsidRPr="009D2794">
              <w:rPr>
                <w:rFonts w:ascii="Calibri" w:hAnsi="Calibri" w:cs="Calibri"/>
                <w:i/>
                <w:color w:val="000000" w:themeColor="text1"/>
              </w:rPr>
              <w:t>Multiple mode</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themeColor="text1"/>
              </w:rPr>
            </w:pPr>
            <w:r w:rsidRPr="004259E1">
              <w:rPr>
                <w:rFonts w:ascii="Calibri" w:hAnsi="Calibri" w:cs="Calibri"/>
                <w:b/>
                <w:color w:val="000000" w:themeColor="text1"/>
              </w:rPr>
              <w:t>14</w:t>
            </w:r>
          </w:p>
          <w:p w:rsidR="00902C44" w:rsidRPr="009D2794" w:rsidRDefault="00902C44" w:rsidP="00902C44">
            <w:pPr>
              <w:autoSpaceDE w:val="0"/>
              <w:autoSpaceDN w:val="0"/>
              <w:adjustRightInd w:val="0"/>
              <w:spacing w:after="0" w:line="240" w:lineRule="auto"/>
              <w:jc w:val="center"/>
              <w:rPr>
                <w:rFonts w:ascii="Calibri" w:hAnsi="Calibri" w:cs="Calibri"/>
                <w:i/>
                <w:color w:val="000000" w:themeColor="text1"/>
              </w:rPr>
            </w:pPr>
            <w:r w:rsidRPr="009D2794">
              <w:rPr>
                <w:rFonts w:ascii="Calibri" w:hAnsi="Calibri" w:cs="Calibri"/>
                <w:i/>
                <w:color w:val="000000" w:themeColor="text1"/>
              </w:rPr>
              <w:t>20</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334"/>
              <w:rPr>
                <w:rFonts w:ascii="Arial" w:hAnsi="Arial" w:cs="Arial"/>
                <w:b/>
                <w:color w:val="000000" w:themeColor="text1"/>
              </w:rPr>
            </w:pPr>
            <w:r w:rsidRPr="003542B7">
              <w:rPr>
                <w:rFonts w:ascii="Arial" w:hAnsi="Arial" w:cs="Arial"/>
                <w:b/>
                <w:color w:val="000000" w:themeColor="text1"/>
              </w:rPr>
              <w:t>Parcel, USPS, or courier</w:t>
            </w:r>
          </w:p>
          <w:p w:rsidR="00902C44" w:rsidRPr="009D2794" w:rsidRDefault="00902C44" w:rsidP="00902C44">
            <w:pPr>
              <w:tabs>
                <w:tab w:val="left" w:pos="304"/>
                <w:tab w:val="left" w:pos="664"/>
              </w:tabs>
              <w:autoSpaceDE w:val="0"/>
              <w:autoSpaceDN w:val="0"/>
              <w:adjustRightInd w:val="0"/>
              <w:spacing w:after="0" w:line="240" w:lineRule="auto"/>
              <w:ind w:firstLine="334"/>
              <w:rPr>
                <w:rFonts w:ascii="Calibri" w:hAnsi="Calibri" w:cs="Calibri"/>
                <w:i/>
                <w:color w:val="000000" w:themeColor="text1"/>
              </w:rPr>
            </w:pPr>
            <w:r w:rsidRPr="009D2794">
              <w:rPr>
                <w:rFonts w:ascii="Calibri" w:hAnsi="Calibri" w:cs="Calibri"/>
                <w:i/>
                <w:color w:val="000000" w:themeColor="text1"/>
              </w:rPr>
              <w:t>Non-parcel multi</w:t>
            </w:r>
            <w:r w:rsidR="004259E1" w:rsidRPr="009D2794">
              <w:rPr>
                <w:rFonts w:ascii="Calibri" w:hAnsi="Calibri" w:cs="Calibri"/>
                <w:i/>
                <w:color w:val="000000" w:themeColor="text1"/>
              </w:rPr>
              <w:t xml:space="preserve">ple </w:t>
            </w:r>
            <w:r w:rsidRPr="009D2794">
              <w:rPr>
                <w:rFonts w:ascii="Calibri" w:hAnsi="Calibri" w:cs="Calibri"/>
                <w:i/>
                <w:color w:val="000000" w:themeColor="text1"/>
              </w:rPr>
              <w:t>mode</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15</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Truck and rail</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16</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Truck and water</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17</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Rail and water</w:t>
            </w:r>
          </w:p>
        </w:tc>
      </w:tr>
      <w:tr w:rsidR="003542B7" w:rsidRPr="003542B7" w:rsidTr="00902C44">
        <w:trPr>
          <w:trHeight w:val="290"/>
        </w:trPr>
        <w:tc>
          <w:tcPr>
            <w:tcW w:w="758" w:type="dxa"/>
            <w:tcBorders>
              <w:top w:val="nil"/>
              <w:left w:val="single" w:sz="6" w:space="0" w:color="auto"/>
              <w:bottom w:val="nil"/>
              <w:right w:val="single" w:sz="6" w:space="0" w:color="auto"/>
            </w:tcBorders>
          </w:tcPr>
          <w:p w:rsidR="00902C44" w:rsidRPr="004259E1" w:rsidRDefault="00902C44" w:rsidP="00902C44">
            <w:pPr>
              <w:autoSpaceDE w:val="0"/>
              <w:autoSpaceDN w:val="0"/>
              <w:adjustRightInd w:val="0"/>
              <w:spacing w:after="0" w:line="240" w:lineRule="auto"/>
              <w:jc w:val="center"/>
              <w:rPr>
                <w:rFonts w:ascii="Calibri" w:hAnsi="Calibri" w:cs="Calibri"/>
                <w:b/>
                <w:color w:val="000000"/>
              </w:rPr>
            </w:pPr>
            <w:r w:rsidRPr="004259E1">
              <w:rPr>
                <w:rFonts w:ascii="Calibri" w:hAnsi="Calibri" w:cs="Calibri"/>
                <w:b/>
                <w:color w:val="000000"/>
              </w:rPr>
              <w:t>18</w:t>
            </w:r>
          </w:p>
        </w:tc>
        <w:tc>
          <w:tcPr>
            <w:tcW w:w="3142" w:type="dxa"/>
            <w:tcBorders>
              <w:top w:val="nil"/>
              <w:left w:val="single" w:sz="6" w:space="0" w:color="auto"/>
              <w:bottom w:val="nil"/>
              <w:right w:val="single" w:sz="6" w:space="0" w:color="auto"/>
            </w:tcBorders>
          </w:tcPr>
          <w:p w:rsidR="00902C44" w:rsidRPr="003542B7" w:rsidRDefault="00902C44" w:rsidP="00902C44">
            <w:pPr>
              <w:tabs>
                <w:tab w:val="left" w:pos="304"/>
                <w:tab w:val="left" w:pos="664"/>
              </w:tabs>
              <w:autoSpaceDE w:val="0"/>
              <w:autoSpaceDN w:val="0"/>
              <w:adjustRightInd w:val="0"/>
              <w:spacing w:after="0" w:line="240" w:lineRule="auto"/>
              <w:ind w:firstLine="694"/>
              <w:rPr>
                <w:rFonts w:ascii="Arial" w:hAnsi="Arial" w:cs="Arial"/>
                <w:b/>
                <w:color w:val="000000" w:themeColor="text1"/>
              </w:rPr>
            </w:pPr>
            <w:r w:rsidRPr="003542B7">
              <w:rPr>
                <w:rFonts w:ascii="Arial" w:hAnsi="Arial" w:cs="Arial"/>
                <w:b/>
                <w:color w:val="000000" w:themeColor="text1"/>
              </w:rPr>
              <w:t>Other multiple mode</w:t>
            </w:r>
          </w:p>
        </w:tc>
      </w:tr>
      <w:tr w:rsidR="00902C44" w:rsidRPr="00205D47" w:rsidTr="00902C44">
        <w:trPr>
          <w:trHeight w:val="290"/>
        </w:trPr>
        <w:tc>
          <w:tcPr>
            <w:tcW w:w="758" w:type="dxa"/>
            <w:tcBorders>
              <w:top w:val="single" w:sz="6" w:space="0" w:color="auto"/>
              <w:left w:val="single" w:sz="6" w:space="0" w:color="auto"/>
              <w:bottom w:val="single" w:sz="6" w:space="0" w:color="auto"/>
              <w:right w:val="single" w:sz="6" w:space="0" w:color="auto"/>
            </w:tcBorders>
          </w:tcPr>
          <w:p w:rsidR="00902C44" w:rsidRPr="009D2794" w:rsidRDefault="00902C44" w:rsidP="00902C44">
            <w:pPr>
              <w:autoSpaceDE w:val="0"/>
              <w:autoSpaceDN w:val="0"/>
              <w:adjustRightInd w:val="0"/>
              <w:spacing w:after="0" w:line="240" w:lineRule="auto"/>
              <w:jc w:val="center"/>
              <w:rPr>
                <w:rFonts w:ascii="Calibri" w:hAnsi="Calibri" w:cs="Calibri"/>
                <w:i/>
                <w:color w:val="000000"/>
              </w:rPr>
            </w:pPr>
            <w:r w:rsidRPr="009D2794">
              <w:rPr>
                <w:rFonts w:ascii="Calibri" w:hAnsi="Calibri" w:cs="Calibri"/>
                <w:i/>
                <w:color w:val="000000"/>
              </w:rPr>
              <w:t>00</w:t>
            </w:r>
          </w:p>
        </w:tc>
        <w:tc>
          <w:tcPr>
            <w:tcW w:w="3142" w:type="dxa"/>
            <w:tcBorders>
              <w:top w:val="single" w:sz="6" w:space="0" w:color="auto"/>
              <w:left w:val="single" w:sz="6" w:space="0" w:color="auto"/>
              <w:bottom w:val="single" w:sz="6" w:space="0" w:color="auto"/>
              <w:right w:val="single" w:sz="6" w:space="0" w:color="auto"/>
            </w:tcBorders>
          </w:tcPr>
          <w:p w:rsidR="00902C44" w:rsidRPr="009D2794" w:rsidRDefault="00902C44" w:rsidP="00902C44">
            <w:pPr>
              <w:tabs>
                <w:tab w:val="left" w:pos="304"/>
                <w:tab w:val="left" w:pos="664"/>
              </w:tabs>
              <w:autoSpaceDE w:val="0"/>
              <w:autoSpaceDN w:val="0"/>
              <w:adjustRightInd w:val="0"/>
              <w:spacing w:after="0" w:line="240" w:lineRule="auto"/>
              <w:rPr>
                <w:rFonts w:ascii="Calibri" w:hAnsi="Calibri" w:cs="Calibri"/>
                <w:i/>
                <w:color w:val="000000"/>
              </w:rPr>
            </w:pPr>
            <w:r w:rsidRPr="009D2794">
              <w:rPr>
                <w:rFonts w:ascii="Calibri" w:hAnsi="Calibri" w:cs="Calibri"/>
                <w:i/>
                <w:color w:val="000000"/>
              </w:rPr>
              <w:t>Mode suppressed</w:t>
            </w:r>
          </w:p>
        </w:tc>
      </w:tr>
    </w:tbl>
    <w:p w:rsidR="00A10ED0" w:rsidRDefault="00A10ED0" w:rsidP="00B70FCF">
      <w:pPr>
        <w:spacing w:after="0"/>
        <w:jc w:val="right"/>
      </w:pPr>
    </w:p>
    <w:p w:rsidR="00A10ED0" w:rsidRDefault="00A10ED0"/>
    <w:p w:rsidR="00A10ED0" w:rsidRDefault="00A10ED0">
      <w:r>
        <w:object w:dxaOrig="10126" w:dyaOrig="5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75pt;height:283.5pt" o:ole="">
            <v:imagedata r:id="rId17" o:title=""/>
          </v:shape>
          <o:OLEObject Type="Embed" ProgID="Excel.Sheet.12" ShapeID="_x0000_i1025" DrawAspect="Content" ObjectID="_1576466338" r:id="rId18"/>
        </w:object>
      </w:r>
      <w:r>
        <w:br w:type="page"/>
      </w:r>
    </w:p>
    <w:p w:rsidR="00B70FCF" w:rsidRDefault="00B70FCF" w:rsidP="00B70FCF">
      <w:pPr>
        <w:spacing w:after="0"/>
        <w:jc w:val="right"/>
      </w:pPr>
      <w:r>
        <w:lastRenderedPageBreak/>
        <w:t>Appendix B</w:t>
      </w:r>
    </w:p>
    <w:p w:rsidR="00A5716C" w:rsidRDefault="00B70FCF" w:rsidP="00A5716C">
      <w:pPr>
        <w:spacing w:after="0" w:line="240" w:lineRule="auto"/>
        <w:jc w:val="center"/>
      </w:pPr>
      <w:r>
        <w:t xml:space="preserve">Comparison of Published Estimates and Estimates Produced from the PUM File </w:t>
      </w:r>
    </w:p>
    <w:p w:rsidR="00B70FCF" w:rsidRDefault="00B70FCF" w:rsidP="00A5716C">
      <w:pPr>
        <w:spacing w:after="0" w:line="240" w:lineRule="auto"/>
        <w:jc w:val="center"/>
      </w:pPr>
      <w:r>
        <w:t>for Selected Shipment Characteristics</w:t>
      </w:r>
    </w:p>
    <w:p w:rsidR="00B70FCF" w:rsidRDefault="00B70FCF" w:rsidP="00B70FCF">
      <w:pPr>
        <w:spacing w:after="0"/>
        <w:jc w:val="center"/>
      </w:pPr>
    </w:p>
    <w:bookmarkStart w:id="1" w:name="_MON_1572438597"/>
    <w:bookmarkEnd w:id="1"/>
    <w:p w:rsidR="00B70FCF" w:rsidRDefault="00CB07BB" w:rsidP="00B70FCF">
      <w:r>
        <w:object w:dxaOrig="12165" w:dyaOrig="9645">
          <v:shape id="_x0000_i1026" type="#_x0000_t75" style="width:511.5pt;height:462.75pt" o:ole="">
            <v:imagedata r:id="rId19" o:title=""/>
          </v:shape>
          <o:OLEObject Type="Embed" ProgID="Excel.Sheet.12" ShapeID="_x0000_i1026" DrawAspect="Content" ObjectID="_1576466339" r:id="rId20"/>
        </w:object>
      </w:r>
    </w:p>
    <w:p w:rsidR="00B70FCF" w:rsidRDefault="00B70FCF">
      <w:r>
        <w:br w:type="page"/>
      </w:r>
    </w:p>
    <w:p w:rsidR="00B15CF1" w:rsidRDefault="003152C0" w:rsidP="00B70FCF">
      <w:r>
        <w:object w:dxaOrig="13044" w:dyaOrig="16663">
          <v:shape id="_x0000_i1027" type="#_x0000_t75" style="width:551.25pt;height:732pt" o:ole="">
            <v:imagedata r:id="rId21" o:title=""/>
          </v:shape>
          <o:OLEObject Type="Embed" ProgID="Excel.Sheet.12" ShapeID="_x0000_i1027" DrawAspect="Content" ObjectID="_1576466340" r:id="rId22"/>
        </w:object>
      </w:r>
    </w:p>
    <w:p w:rsidR="00B15CF1" w:rsidRDefault="003152C0">
      <w:r>
        <w:object w:dxaOrig="13044" w:dyaOrig="16663">
          <v:shape id="_x0000_i1028" type="#_x0000_t75" style="width:549.75pt;height:734.25pt" o:ole="">
            <v:imagedata r:id="rId23" o:title=""/>
          </v:shape>
          <o:OLEObject Type="Embed" ProgID="Excel.Sheet.12" ShapeID="_x0000_i1028" DrawAspect="Content" ObjectID="_1576466341" r:id="rId24"/>
        </w:object>
      </w:r>
      <w:r w:rsidR="00B15CF1">
        <w:br w:type="page"/>
      </w:r>
    </w:p>
    <w:p w:rsidR="00FE3620" w:rsidRDefault="00FE3620" w:rsidP="00FE3620">
      <w:pPr>
        <w:spacing w:after="0"/>
        <w:jc w:val="right"/>
        <w:sectPr w:rsidR="00FE3620" w:rsidSect="00457AA6">
          <w:headerReference w:type="default" r:id="rId25"/>
          <w:footerReference w:type="default" r:id="rId26"/>
          <w:pgSz w:w="12240" w:h="15840"/>
          <w:pgMar w:top="450" w:right="720" w:bottom="180" w:left="720" w:header="360" w:footer="0" w:gutter="0"/>
          <w:cols w:space="720"/>
          <w:docGrid w:linePitch="360"/>
        </w:sectPr>
      </w:pPr>
    </w:p>
    <w:p w:rsidR="00FE3620" w:rsidRDefault="00FE3620" w:rsidP="00FE3620">
      <w:pPr>
        <w:spacing w:after="0"/>
        <w:jc w:val="right"/>
      </w:pPr>
      <w:r>
        <w:lastRenderedPageBreak/>
        <w:t>Appendix C</w:t>
      </w:r>
    </w:p>
    <w:p w:rsidR="00A5716C" w:rsidRDefault="00FE3620" w:rsidP="00A5716C">
      <w:pPr>
        <w:spacing w:after="0" w:line="240" w:lineRule="auto"/>
        <w:jc w:val="center"/>
      </w:pPr>
      <w:r>
        <w:t xml:space="preserve">Comparison of Published CVs and CVs Produced Using the PUM File GVF </w:t>
      </w:r>
    </w:p>
    <w:p w:rsidR="00FE3620" w:rsidRDefault="00FE3620" w:rsidP="00A5716C">
      <w:pPr>
        <w:spacing w:after="0" w:line="240" w:lineRule="auto"/>
        <w:jc w:val="center"/>
      </w:pPr>
      <w:r>
        <w:t>for Selected Shipment Characteristics</w:t>
      </w:r>
    </w:p>
    <w:p w:rsidR="00B70FCF" w:rsidRDefault="00B70FCF"/>
    <w:p w:rsidR="00FE3620" w:rsidRDefault="00FD3257" w:rsidP="00B70FCF">
      <w:r>
        <w:rPr>
          <w:noProof/>
        </w:rPr>
        <w:drawing>
          <wp:inline distT="0" distB="0" distL="0" distR="0">
            <wp:extent cx="6048375" cy="486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48375" cy="4867275"/>
                    </a:xfrm>
                    <a:prstGeom prst="rect">
                      <a:avLst/>
                    </a:prstGeom>
                    <a:noFill/>
                    <a:ln>
                      <a:noFill/>
                    </a:ln>
                  </pic:spPr>
                </pic:pic>
              </a:graphicData>
            </a:graphic>
          </wp:inline>
        </w:drawing>
      </w:r>
    </w:p>
    <w:p w:rsidR="00FE3620" w:rsidRDefault="00FE3620">
      <w:r>
        <w:br w:type="page"/>
      </w:r>
    </w:p>
    <w:p w:rsidR="00FC6B03" w:rsidRDefault="00FD3257" w:rsidP="00B70FCF">
      <w:r>
        <w:rPr>
          <w:noProof/>
        </w:rPr>
        <w:lastRenderedPageBreak/>
        <w:drawing>
          <wp:inline distT="0" distB="0" distL="0" distR="0">
            <wp:extent cx="6048375" cy="925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9258300"/>
                    </a:xfrm>
                    <a:prstGeom prst="rect">
                      <a:avLst/>
                    </a:prstGeom>
                    <a:noFill/>
                    <a:ln>
                      <a:noFill/>
                    </a:ln>
                  </pic:spPr>
                </pic:pic>
              </a:graphicData>
            </a:graphic>
          </wp:inline>
        </w:drawing>
      </w:r>
    </w:p>
    <w:p w:rsidR="009838A3" w:rsidRPr="00983ACD" w:rsidRDefault="00FD3257" w:rsidP="00B70FCF">
      <w:r>
        <w:rPr>
          <w:noProof/>
        </w:rPr>
        <w:lastRenderedPageBreak/>
        <w:drawing>
          <wp:inline distT="0" distB="0" distL="0" distR="0">
            <wp:extent cx="6048375" cy="927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8375" cy="9277350"/>
                    </a:xfrm>
                    <a:prstGeom prst="rect">
                      <a:avLst/>
                    </a:prstGeom>
                    <a:noFill/>
                    <a:ln>
                      <a:noFill/>
                    </a:ln>
                  </pic:spPr>
                </pic:pic>
              </a:graphicData>
            </a:graphic>
          </wp:inline>
        </w:drawing>
      </w:r>
    </w:p>
    <w:sectPr w:rsidR="009838A3" w:rsidRPr="00983ACD" w:rsidSect="00457AA6">
      <w:headerReference w:type="default" r:id="rId30"/>
      <w:pgSz w:w="12240" w:h="15840"/>
      <w:pgMar w:top="360" w:right="1260" w:bottom="360" w:left="126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6C1" w:rsidRDefault="003D76C1" w:rsidP="008D4A2E">
      <w:pPr>
        <w:spacing w:after="0" w:line="240" w:lineRule="auto"/>
      </w:pPr>
      <w:r>
        <w:separator/>
      </w:r>
    </w:p>
  </w:endnote>
  <w:endnote w:type="continuationSeparator" w:id="0">
    <w:p w:rsidR="003D76C1" w:rsidRDefault="003D76C1" w:rsidP="008D4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838323"/>
      <w:docPartObj>
        <w:docPartGallery w:val="Page Numbers (Bottom of Page)"/>
        <w:docPartUnique/>
      </w:docPartObj>
    </w:sdtPr>
    <w:sdtEndPr>
      <w:rPr>
        <w:noProof/>
      </w:rPr>
    </w:sdtEndPr>
    <w:sdtContent>
      <w:p w:rsidR="003D76C1" w:rsidRDefault="003D76C1">
        <w:pPr>
          <w:pStyle w:val="Footer"/>
          <w:jc w:val="center"/>
        </w:pPr>
        <w:r>
          <w:fldChar w:fldCharType="begin"/>
        </w:r>
        <w:r>
          <w:instrText xml:space="preserve"> PAGE   \* MERGEFORMAT </w:instrText>
        </w:r>
        <w:r>
          <w:fldChar w:fldCharType="separate"/>
        </w:r>
        <w:r w:rsidR="00B165B6">
          <w:rPr>
            <w:noProof/>
          </w:rPr>
          <w:t>6</w:t>
        </w:r>
        <w:r>
          <w:rPr>
            <w:noProof/>
          </w:rPr>
          <w:fldChar w:fldCharType="end"/>
        </w:r>
      </w:p>
    </w:sdtContent>
  </w:sdt>
  <w:p w:rsidR="003D76C1" w:rsidRDefault="003D7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Footer"/>
      <w:jc w:val="center"/>
    </w:pPr>
  </w:p>
  <w:p w:rsidR="003D76C1" w:rsidRDefault="003D7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6C1" w:rsidRDefault="003D76C1" w:rsidP="008D4A2E">
      <w:pPr>
        <w:spacing w:after="0" w:line="240" w:lineRule="auto"/>
      </w:pPr>
      <w:r>
        <w:separator/>
      </w:r>
    </w:p>
  </w:footnote>
  <w:footnote w:type="continuationSeparator" w:id="0">
    <w:p w:rsidR="003D76C1" w:rsidRDefault="003D76C1" w:rsidP="008D4A2E">
      <w:pPr>
        <w:spacing w:after="0" w:line="240" w:lineRule="auto"/>
      </w:pPr>
      <w:r>
        <w:continuationSeparator/>
      </w:r>
    </w:p>
  </w:footnote>
  <w:footnote w:id="1">
    <w:p w:rsidR="003D76C1" w:rsidRPr="00CE304C" w:rsidRDefault="003D76C1" w:rsidP="00C5567F">
      <w:pPr>
        <w:pStyle w:val="FootnoteText"/>
        <w:ind w:left="180" w:hanging="180"/>
      </w:pPr>
      <w:r>
        <w:rPr>
          <w:rStyle w:val="FootnoteReference"/>
        </w:rPr>
        <w:footnoteRef/>
      </w:r>
      <w:r>
        <w:t xml:space="preserve"> </w:t>
      </w:r>
      <w:r>
        <w:tab/>
      </w:r>
      <w:r w:rsidRPr="00CE304C">
        <w:t>Note that multiple shipments traveling together on the same vehicle (truck, airplane, etc.) will each have an origin-to-destination distance assigned to them even though the carrier travels that distance only once.</w:t>
      </w:r>
    </w:p>
  </w:footnote>
  <w:footnote w:id="2">
    <w:p w:rsidR="003D76C1" w:rsidRDefault="003D76C1" w:rsidP="00F007E8">
      <w:pPr>
        <w:pStyle w:val="FootnoteText"/>
        <w:ind w:left="180" w:hanging="180"/>
      </w:pPr>
      <w:r w:rsidRPr="00CE304C">
        <w:rPr>
          <w:rStyle w:val="FootnoteReference"/>
        </w:rPr>
        <w:footnoteRef/>
      </w:r>
      <w:r w:rsidRPr="00CE304C">
        <w:t xml:space="preserve"> </w:t>
      </w:r>
      <w:r w:rsidRPr="00CE304C">
        <w:tab/>
        <w:t>Note: A small number of shipments have weighting factors &lt; 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6C1" w:rsidRDefault="003D76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10459"/>
    <w:multiLevelType w:val="hybridMultilevel"/>
    <w:tmpl w:val="07C455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A3A8D"/>
    <w:multiLevelType w:val="hybridMultilevel"/>
    <w:tmpl w:val="F378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E65D76"/>
    <w:multiLevelType w:val="hybridMultilevel"/>
    <w:tmpl w:val="4446834E"/>
    <w:lvl w:ilvl="0" w:tplc="3A24CFFA">
      <w:start w:val="1"/>
      <w:numFmt w:val="lowerLetter"/>
      <w:lvlText w:val="%1."/>
      <w:lvlJc w:val="left"/>
      <w:pPr>
        <w:ind w:left="720" w:hanging="360"/>
      </w:pPr>
      <w:rPr>
        <w:rFonts w:eastAsia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53D59"/>
    <w:multiLevelType w:val="hybridMultilevel"/>
    <w:tmpl w:val="7D966DAC"/>
    <w:lvl w:ilvl="0" w:tplc="E76473E4">
      <w:start w:val="3"/>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56BFC"/>
    <w:multiLevelType w:val="hybridMultilevel"/>
    <w:tmpl w:val="4C12DA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2C6A8E"/>
    <w:multiLevelType w:val="hybridMultilevel"/>
    <w:tmpl w:val="310C0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274CB1"/>
    <w:multiLevelType w:val="hybridMultilevel"/>
    <w:tmpl w:val="E7CE8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471D11"/>
    <w:multiLevelType w:val="hybridMultilevel"/>
    <w:tmpl w:val="8996AA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0E2BA3"/>
    <w:multiLevelType w:val="hybridMultilevel"/>
    <w:tmpl w:val="F40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0"/>
  </w:num>
  <w:num w:numId="5">
    <w:abstractNumId w:val="4"/>
  </w:num>
  <w:num w:numId="6">
    <w:abstractNumId w:val="2"/>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CD"/>
    <w:rsid w:val="00024460"/>
    <w:rsid w:val="0003379B"/>
    <w:rsid w:val="0003620E"/>
    <w:rsid w:val="000520F9"/>
    <w:rsid w:val="00061914"/>
    <w:rsid w:val="0007009B"/>
    <w:rsid w:val="0007170D"/>
    <w:rsid w:val="0007333C"/>
    <w:rsid w:val="000741D1"/>
    <w:rsid w:val="000970D4"/>
    <w:rsid w:val="000C02D0"/>
    <w:rsid w:val="000C09A0"/>
    <w:rsid w:val="000C3D27"/>
    <w:rsid w:val="000D05D0"/>
    <w:rsid w:val="000D349F"/>
    <w:rsid w:val="000E7C8A"/>
    <w:rsid w:val="000F4192"/>
    <w:rsid w:val="000F665E"/>
    <w:rsid w:val="00100F8D"/>
    <w:rsid w:val="001176A7"/>
    <w:rsid w:val="00146F99"/>
    <w:rsid w:val="00161207"/>
    <w:rsid w:val="00162475"/>
    <w:rsid w:val="00164CFD"/>
    <w:rsid w:val="00170DEA"/>
    <w:rsid w:val="0017298F"/>
    <w:rsid w:val="0018205D"/>
    <w:rsid w:val="001852DC"/>
    <w:rsid w:val="001A18C9"/>
    <w:rsid w:val="001B1220"/>
    <w:rsid w:val="001B58DD"/>
    <w:rsid w:val="001E06C1"/>
    <w:rsid w:val="001F0358"/>
    <w:rsid w:val="001F599B"/>
    <w:rsid w:val="00213B7F"/>
    <w:rsid w:val="00227B1F"/>
    <w:rsid w:val="00232002"/>
    <w:rsid w:val="002342F9"/>
    <w:rsid w:val="00234583"/>
    <w:rsid w:val="00234890"/>
    <w:rsid w:val="00255348"/>
    <w:rsid w:val="0026058D"/>
    <w:rsid w:val="00270612"/>
    <w:rsid w:val="00275242"/>
    <w:rsid w:val="0028322E"/>
    <w:rsid w:val="00290D68"/>
    <w:rsid w:val="00294265"/>
    <w:rsid w:val="002950DC"/>
    <w:rsid w:val="002A0774"/>
    <w:rsid w:val="002A0D0A"/>
    <w:rsid w:val="002A46D4"/>
    <w:rsid w:val="002D6D33"/>
    <w:rsid w:val="002F0833"/>
    <w:rsid w:val="00300F2B"/>
    <w:rsid w:val="003152C0"/>
    <w:rsid w:val="00324D61"/>
    <w:rsid w:val="00334C7B"/>
    <w:rsid w:val="003350B8"/>
    <w:rsid w:val="00345710"/>
    <w:rsid w:val="003470CC"/>
    <w:rsid w:val="003542B7"/>
    <w:rsid w:val="00363B9F"/>
    <w:rsid w:val="00370486"/>
    <w:rsid w:val="00372E38"/>
    <w:rsid w:val="00384AAA"/>
    <w:rsid w:val="003924EC"/>
    <w:rsid w:val="003A4552"/>
    <w:rsid w:val="003A7794"/>
    <w:rsid w:val="003B2251"/>
    <w:rsid w:val="003B5807"/>
    <w:rsid w:val="003C33F3"/>
    <w:rsid w:val="003C738A"/>
    <w:rsid w:val="003D0FD1"/>
    <w:rsid w:val="003D2431"/>
    <w:rsid w:val="003D2F4A"/>
    <w:rsid w:val="003D37B9"/>
    <w:rsid w:val="003D76C1"/>
    <w:rsid w:val="0040053C"/>
    <w:rsid w:val="004058AD"/>
    <w:rsid w:val="00415A35"/>
    <w:rsid w:val="0042025B"/>
    <w:rsid w:val="004259E1"/>
    <w:rsid w:val="004264C4"/>
    <w:rsid w:val="0043397D"/>
    <w:rsid w:val="004511DC"/>
    <w:rsid w:val="0045785D"/>
    <w:rsid w:val="00457AA6"/>
    <w:rsid w:val="0046109C"/>
    <w:rsid w:val="00462605"/>
    <w:rsid w:val="004726BE"/>
    <w:rsid w:val="00482493"/>
    <w:rsid w:val="004E7845"/>
    <w:rsid w:val="004F01B2"/>
    <w:rsid w:val="004F4DCB"/>
    <w:rsid w:val="0050204B"/>
    <w:rsid w:val="00503FDF"/>
    <w:rsid w:val="005114AA"/>
    <w:rsid w:val="00522123"/>
    <w:rsid w:val="00527830"/>
    <w:rsid w:val="00540FB4"/>
    <w:rsid w:val="0055416E"/>
    <w:rsid w:val="005624D2"/>
    <w:rsid w:val="00563D1D"/>
    <w:rsid w:val="005735FF"/>
    <w:rsid w:val="005813F4"/>
    <w:rsid w:val="005915AC"/>
    <w:rsid w:val="00594BC5"/>
    <w:rsid w:val="0059648A"/>
    <w:rsid w:val="00596A2F"/>
    <w:rsid w:val="005B7C87"/>
    <w:rsid w:val="005C7D06"/>
    <w:rsid w:val="005D7AFF"/>
    <w:rsid w:val="005F064C"/>
    <w:rsid w:val="00612A84"/>
    <w:rsid w:val="006172F8"/>
    <w:rsid w:val="00617F92"/>
    <w:rsid w:val="0064023D"/>
    <w:rsid w:val="006627A8"/>
    <w:rsid w:val="0066450D"/>
    <w:rsid w:val="00676149"/>
    <w:rsid w:val="0068262E"/>
    <w:rsid w:val="00684550"/>
    <w:rsid w:val="006869B9"/>
    <w:rsid w:val="00697E93"/>
    <w:rsid w:val="006A6C1A"/>
    <w:rsid w:val="006B5D8C"/>
    <w:rsid w:val="006C3AB5"/>
    <w:rsid w:val="006D1314"/>
    <w:rsid w:val="006F6673"/>
    <w:rsid w:val="007052E8"/>
    <w:rsid w:val="00705ABA"/>
    <w:rsid w:val="00707111"/>
    <w:rsid w:val="00711BE9"/>
    <w:rsid w:val="0072323E"/>
    <w:rsid w:val="0072760D"/>
    <w:rsid w:val="007304F0"/>
    <w:rsid w:val="00734A32"/>
    <w:rsid w:val="00734BC5"/>
    <w:rsid w:val="00740866"/>
    <w:rsid w:val="00764E2A"/>
    <w:rsid w:val="0077733D"/>
    <w:rsid w:val="00796B41"/>
    <w:rsid w:val="007C285E"/>
    <w:rsid w:val="007C2AC9"/>
    <w:rsid w:val="007D48E8"/>
    <w:rsid w:val="007E14D8"/>
    <w:rsid w:val="007F67FF"/>
    <w:rsid w:val="008053A9"/>
    <w:rsid w:val="008175F3"/>
    <w:rsid w:val="0082312A"/>
    <w:rsid w:val="008242E5"/>
    <w:rsid w:val="00833500"/>
    <w:rsid w:val="00841E52"/>
    <w:rsid w:val="00847CE9"/>
    <w:rsid w:val="00852956"/>
    <w:rsid w:val="00873845"/>
    <w:rsid w:val="0088420F"/>
    <w:rsid w:val="00891520"/>
    <w:rsid w:val="008C1359"/>
    <w:rsid w:val="008D00EE"/>
    <w:rsid w:val="008D01A4"/>
    <w:rsid w:val="008D4A2E"/>
    <w:rsid w:val="008E449C"/>
    <w:rsid w:val="008F2F87"/>
    <w:rsid w:val="00902C44"/>
    <w:rsid w:val="0092183F"/>
    <w:rsid w:val="00933853"/>
    <w:rsid w:val="0094698A"/>
    <w:rsid w:val="009558E2"/>
    <w:rsid w:val="009568DF"/>
    <w:rsid w:val="00960BF7"/>
    <w:rsid w:val="00966E3E"/>
    <w:rsid w:val="009838A3"/>
    <w:rsid w:val="00983ACD"/>
    <w:rsid w:val="00995B2A"/>
    <w:rsid w:val="009A131A"/>
    <w:rsid w:val="009A3BB7"/>
    <w:rsid w:val="009D0628"/>
    <w:rsid w:val="009D1C01"/>
    <w:rsid w:val="009D2794"/>
    <w:rsid w:val="009E32FC"/>
    <w:rsid w:val="009E6225"/>
    <w:rsid w:val="009F1861"/>
    <w:rsid w:val="009F3C4C"/>
    <w:rsid w:val="00A10ED0"/>
    <w:rsid w:val="00A224C6"/>
    <w:rsid w:val="00A2275D"/>
    <w:rsid w:val="00A303EE"/>
    <w:rsid w:val="00A41C4F"/>
    <w:rsid w:val="00A42A63"/>
    <w:rsid w:val="00A5716C"/>
    <w:rsid w:val="00A60762"/>
    <w:rsid w:val="00A66213"/>
    <w:rsid w:val="00A71584"/>
    <w:rsid w:val="00A725FB"/>
    <w:rsid w:val="00A85AF6"/>
    <w:rsid w:val="00A878EA"/>
    <w:rsid w:val="00AA22C2"/>
    <w:rsid w:val="00AC6DBA"/>
    <w:rsid w:val="00AC7063"/>
    <w:rsid w:val="00AD2BD0"/>
    <w:rsid w:val="00AD6475"/>
    <w:rsid w:val="00AE102D"/>
    <w:rsid w:val="00AE792B"/>
    <w:rsid w:val="00B06934"/>
    <w:rsid w:val="00B073F6"/>
    <w:rsid w:val="00B1187D"/>
    <w:rsid w:val="00B15CF1"/>
    <w:rsid w:val="00B165B6"/>
    <w:rsid w:val="00B42CD2"/>
    <w:rsid w:val="00B46814"/>
    <w:rsid w:val="00B565D7"/>
    <w:rsid w:val="00B61F51"/>
    <w:rsid w:val="00B63B73"/>
    <w:rsid w:val="00B66333"/>
    <w:rsid w:val="00B70F34"/>
    <w:rsid w:val="00B70F68"/>
    <w:rsid w:val="00B70FCF"/>
    <w:rsid w:val="00B83C16"/>
    <w:rsid w:val="00B83FD6"/>
    <w:rsid w:val="00B8643F"/>
    <w:rsid w:val="00BB3D46"/>
    <w:rsid w:val="00BC1ACA"/>
    <w:rsid w:val="00C052DC"/>
    <w:rsid w:val="00C135F3"/>
    <w:rsid w:val="00C15E1C"/>
    <w:rsid w:val="00C17433"/>
    <w:rsid w:val="00C24EDE"/>
    <w:rsid w:val="00C329E2"/>
    <w:rsid w:val="00C42AB6"/>
    <w:rsid w:val="00C43A4B"/>
    <w:rsid w:val="00C4586D"/>
    <w:rsid w:val="00C539D6"/>
    <w:rsid w:val="00C5567F"/>
    <w:rsid w:val="00C623A3"/>
    <w:rsid w:val="00C633BC"/>
    <w:rsid w:val="00C8078E"/>
    <w:rsid w:val="00C80D84"/>
    <w:rsid w:val="00C81D8E"/>
    <w:rsid w:val="00C86EA2"/>
    <w:rsid w:val="00C943AB"/>
    <w:rsid w:val="00CA7D4F"/>
    <w:rsid w:val="00CB07BB"/>
    <w:rsid w:val="00CB3C34"/>
    <w:rsid w:val="00CC06FE"/>
    <w:rsid w:val="00CE008E"/>
    <w:rsid w:val="00CE304C"/>
    <w:rsid w:val="00CE584E"/>
    <w:rsid w:val="00D04025"/>
    <w:rsid w:val="00D132D9"/>
    <w:rsid w:val="00D461FE"/>
    <w:rsid w:val="00D47F0F"/>
    <w:rsid w:val="00D51698"/>
    <w:rsid w:val="00D800B9"/>
    <w:rsid w:val="00D81450"/>
    <w:rsid w:val="00DD455D"/>
    <w:rsid w:val="00DE0D05"/>
    <w:rsid w:val="00DF64BF"/>
    <w:rsid w:val="00E04A47"/>
    <w:rsid w:val="00E168D9"/>
    <w:rsid w:val="00E33E33"/>
    <w:rsid w:val="00E374A5"/>
    <w:rsid w:val="00E53870"/>
    <w:rsid w:val="00E56281"/>
    <w:rsid w:val="00E71A61"/>
    <w:rsid w:val="00E7477C"/>
    <w:rsid w:val="00E76C05"/>
    <w:rsid w:val="00E91513"/>
    <w:rsid w:val="00E96F82"/>
    <w:rsid w:val="00EA0541"/>
    <w:rsid w:val="00EA6DC8"/>
    <w:rsid w:val="00EB25C9"/>
    <w:rsid w:val="00EE3F43"/>
    <w:rsid w:val="00EF7550"/>
    <w:rsid w:val="00F0070D"/>
    <w:rsid w:val="00F007E8"/>
    <w:rsid w:val="00F04913"/>
    <w:rsid w:val="00F04CC6"/>
    <w:rsid w:val="00F26A5B"/>
    <w:rsid w:val="00F27E48"/>
    <w:rsid w:val="00F36EF1"/>
    <w:rsid w:val="00F447B7"/>
    <w:rsid w:val="00F539B0"/>
    <w:rsid w:val="00F56873"/>
    <w:rsid w:val="00F6334B"/>
    <w:rsid w:val="00F6347F"/>
    <w:rsid w:val="00F8631A"/>
    <w:rsid w:val="00F95289"/>
    <w:rsid w:val="00F97557"/>
    <w:rsid w:val="00FA2BA5"/>
    <w:rsid w:val="00FB18A0"/>
    <w:rsid w:val="00FB2D3E"/>
    <w:rsid w:val="00FB2FFF"/>
    <w:rsid w:val="00FB3571"/>
    <w:rsid w:val="00FB3E26"/>
    <w:rsid w:val="00FC6B03"/>
    <w:rsid w:val="00FD042A"/>
    <w:rsid w:val="00FD315D"/>
    <w:rsid w:val="00FD3257"/>
    <w:rsid w:val="00FD4720"/>
    <w:rsid w:val="00FD7197"/>
    <w:rsid w:val="00FE3620"/>
    <w:rsid w:val="00FE4F90"/>
    <w:rsid w:val="00FF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C5723B6-7BDF-4734-A63A-8E99FE6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CD"/>
    <w:pPr>
      <w:ind w:left="720"/>
      <w:contextualSpacing/>
    </w:pPr>
  </w:style>
  <w:style w:type="character" w:styleId="Strong">
    <w:name w:val="Strong"/>
    <w:basedOn w:val="DefaultParagraphFont"/>
    <w:uiPriority w:val="22"/>
    <w:qFormat/>
    <w:rsid w:val="005915AC"/>
    <w:rPr>
      <w:b/>
      <w:bCs/>
    </w:rPr>
  </w:style>
  <w:style w:type="paragraph" w:styleId="BalloonText">
    <w:name w:val="Balloon Text"/>
    <w:basedOn w:val="Normal"/>
    <w:link w:val="BalloonTextChar"/>
    <w:uiPriority w:val="99"/>
    <w:semiHidden/>
    <w:unhideWhenUsed/>
    <w:rsid w:val="0090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C44"/>
    <w:rPr>
      <w:rFonts w:ascii="Tahoma" w:hAnsi="Tahoma" w:cs="Tahoma"/>
      <w:sz w:val="16"/>
      <w:szCs w:val="16"/>
    </w:rPr>
  </w:style>
  <w:style w:type="character" w:styleId="Hyperlink">
    <w:name w:val="Hyperlink"/>
    <w:basedOn w:val="DefaultParagraphFont"/>
    <w:uiPriority w:val="99"/>
    <w:unhideWhenUsed/>
    <w:rsid w:val="00F6334B"/>
    <w:rPr>
      <w:color w:val="0000FF" w:themeColor="hyperlink"/>
      <w:u w:val="single"/>
    </w:rPr>
  </w:style>
  <w:style w:type="table" w:styleId="TableGrid">
    <w:name w:val="Table Grid"/>
    <w:basedOn w:val="TableNormal"/>
    <w:uiPriority w:val="59"/>
    <w:rsid w:val="00420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4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A2E"/>
  </w:style>
  <w:style w:type="paragraph" w:styleId="Footer">
    <w:name w:val="footer"/>
    <w:basedOn w:val="Normal"/>
    <w:link w:val="FooterChar"/>
    <w:uiPriority w:val="99"/>
    <w:unhideWhenUsed/>
    <w:rsid w:val="008D4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A2E"/>
  </w:style>
  <w:style w:type="paragraph" w:styleId="EndnoteText">
    <w:name w:val="endnote text"/>
    <w:basedOn w:val="Normal"/>
    <w:link w:val="EndnoteTextChar"/>
    <w:uiPriority w:val="99"/>
    <w:semiHidden/>
    <w:unhideWhenUsed/>
    <w:rsid w:val="00C556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567F"/>
    <w:rPr>
      <w:sz w:val="20"/>
      <w:szCs w:val="20"/>
    </w:rPr>
  </w:style>
  <w:style w:type="character" w:styleId="EndnoteReference">
    <w:name w:val="endnote reference"/>
    <w:basedOn w:val="DefaultParagraphFont"/>
    <w:uiPriority w:val="99"/>
    <w:semiHidden/>
    <w:unhideWhenUsed/>
    <w:rsid w:val="00C5567F"/>
    <w:rPr>
      <w:vertAlign w:val="superscript"/>
    </w:rPr>
  </w:style>
  <w:style w:type="paragraph" w:styleId="FootnoteText">
    <w:name w:val="footnote text"/>
    <w:basedOn w:val="Normal"/>
    <w:link w:val="FootnoteTextChar"/>
    <w:uiPriority w:val="99"/>
    <w:semiHidden/>
    <w:unhideWhenUsed/>
    <w:rsid w:val="00C55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567F"/>
    <w:rPr>
      <w:sz w:val="20"/>
      <w:szCs w:val="20"/>
    </w:rPr>
  </w:style>
  <w:style w:type="character" w:styleId="FootnoteReference">
    <w:name w:val="footnote reference"/>
    <w:basedOn w:val="DefaultParagraphFont"/>
    <w:uiPriority w:val="99"/>
    <w:semiHidden/>
    <w:unhideWhenUsed/>
    <w:rsid w:val="00C5567F"/>
    <w:rPr>
      <w:vertAlign w:val="superscript"/>
    </w:rPr>
  </w:style>
  <w:style w:type="paragraph" w:styleId="Revision">
    <w:name w:val="Revision"/>
    <w:hidden/>
    <w:uiPriority w:val="99"/>
    <w:semiHidden/>
    <w:rsid w:val="00B16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5419">
      <w:bodyDiv w:val="1"/>
      <w:marLeft w:val="0"/>
      <w:marRight w:val="0"/>
      <w:marTop w:val="0"/>
      <w:marBottom w:val="0"/>
      <w:divBdr>
        <w:top w:val="none" w:sz="0" w:space="0" w:color="auto"/>
        <w:left w:val="none" w:sz="0" w:space="0" w:color="auto"/>
        <w:bottom w:val="none" w:sz="0" w:space="0" w:color="auto"/>
        <w:right w:val="none" w:sz="0" w:space="0" w:color="auto"/>
      </w:divBdr>
      <w:divsChild>
        <w:div w:id="745689318">
          <w:marLeft w:val="0"/>
          <w:marRight w:val="0"/>
          <w:marTop w:val="0"/>
          <w:marBottom w:val="0"/>
          <w:divBdr>
            <w:top w:val="none" w:sz="0" w:space="0" w:color="auto"/>
            <w:left w:val="none" w:sz="0" w:space="0" w:color="auto"/>
            <w:bottom w:val="none" w:sz="0" w:space="0" w:color="auto"/>
            <w:right w:val="none" w:sz="0" w:space="0" w:color="auto"/>
          </w:divBdr>
        </w:div>
        <w:div w:id="616983192">
          <w:marLeft w:val="0"/>
          <w:marRight w:val="0"/>
          <w:marTop w:val="0"/>
          <w:marBottom w:val="0"/>
          <w:divBdr>
            <w:top w:val="none" w:sz="0" w:space="0" w:color="auto"/>
            <w:left w:val="none" w:sz="0" w:space="0" w:color="auto"/>
            <w:bottom w:val="none" w:sz="0" w:space="0" w:color="auto"/>
            <w:right w:val="none" w:sz="0" w:space="0" w:color="auto"/>
          </w:divBdr>
        </w:div>
        <w:div w:id="1590845900">
          <w:marLeft w:val="0"/>
          <w:marRight w:val="0"/>
          <w:marTop w:val="0"/>
          <w:marBottom w:val="0"/>
          <w:divBdr>
            <w:top w:val="none" w:sz="0" w:space="0" w:color="auto"/>
            <w:left w:val="none" w:sz="0" w:space="0" w:color="auto"/>
            <w:bottom w:val="none" w:sz="0" w:space="0" w:color="auto"/>
            <w:right w:val="none" w:sz="0" w:space="0" w:color="auto"/>
          </w:divBdr>
        </w:div>
        <w:div w:id="1897617159">
          <w:marLeft w:val="0"/>
          <w:marRight w:val="0"/>
          <w:marTop w:val="0"/>
          <w:marBottom w:val="0"/>
          <w:divBdr>
            <w:top w:val="none" w:sz="0" w:space="0" w:color="auto"/>
            <w:left w:val="none" w:sz="0" w:space="0" w:color="auto"/>
            <w:bottom w:val="none" w:sz="0" w:space="0" w:color="auto"/>
            <w:right w:val="none" w:sz="0" w:space="0" w:color="auto"/>
          </w:divBdr>
        </w:div>
        <w:div w:id="1494294859">
          <w:marLeft w:val="0"/>
          <w:marRight w:val="0"/>
          <w:marTop w:val="0"/>
          <w:marBottom w:val="0"/>
          <w:divBdr>
            <w:top w:val="none" w:sz="0" w:space="0" w:color="auto"/>
            <w:left w:val="none" w:sz="0" w:space="0" w:color="auto"/>
            <w:bottom w:val="none" w:sz="0" w:space="0" w:color="auto"/>
            <w:right w:val="none" w:sz="0" w:space="0" w:color="auto"/>
          </w:divBdr>
        </w:div>
        <w:div w:id="976833130">
          <w:marLeft w:val="0"/>
          <w:marRight w:val="0"/>
          <w:marTop w:val="0"/>
          <w:marBottom w:val="0"/>
          <w:divBdr>
            <w:top w:val="none" w:sz="0" w:space="0" w:color="auto"/>
            <w:left w:val="none" w:sz="0" w:space="0" w:color="auto"/>
            <w:bottom w:val="none" w:sz="0" w:space="0" w:color="auto"/>
            <w:right w:val="none" w:sz="0" w:space="0" w:color="auto"/>
          </w:divBdr>
        </w:div>
        <w:div w:id="1858688122">
          <w:marLeft w:val="0"/>
          <w:marRight w:val="0"/>
          <w:marTop w:val="0"/>
          <w:marBottom w:val="0"/>
          <w:divBdr>
            <w:top w:val="none" w:sz="0" w:space="0" w:color="auto"/>
            <w:left w:val="none" w:sz="0" w:space="0" w:color="auto"/>
            <w:bottom w:val="none" w:sz="0" w:space="0" w:color="auto"/>
            <w:right w:val="none" w:sz="0" w:space="0" w:color="auto"/>
          </w:divBdr>
        </w:div>
        <w:div w:id="2085029167">
          <w:marLeft w:val="0"/>
          <w:marRight w:val="0"/>
          <w:marTop w:val="0"/>
          <w:marBottom w:val="0"/>
          <w:divBdr>
            <w:top w:val="none" w:sz="0" w:space="0" w:color="auto"/>
            <w:left w:val="none" w:sz="0" w:space="0" w:color="auto"/>
            <w:bottom w:val="none" w:sz="0" w:space="0" w:color="auto"/>
            <w:right w:val="none" w:sz="0" w:space="0" w:color="auto"/>
          </w:divBdr>
        </w:div>
        <w:div w:id="1812671707">
          <w:marLeft w:val="0"/>
          <w:marRight w:val="0"/>
          <w:marTop w:val="0"/>
          <w:marBottom w:val="0"/>
          <w:divBdr>
            <w:top w:val="none" w:sz="0" w:space="0" w:color="auto"/>
            <w:left w:val="none" w:sz="0" w:space="0" w:color="auto"/>
            <w:bottom w:val="none" w:sz="0" w:space="0" w:color="auto"/>
            <w:right w:val="none" w:sz="0" w:space="0" w:color="auto"/>
          </w:divBdr>
        </w:div>
        <w:div w:id="1826167012">
          <w:marLeft w:val="0"/>
          <w:marRight w:val="0"/>
          <w:marTop w:val="0"/>
          <w:marBottom w:val="0"/>
          <w:divBdr>
            <w:top w:val="none" w:sz="0" w:space="0" w:color="auto"/>
            <w:left w:val="none" w:sz="0" w:space="0" w:color="auto"/>
            <w:bottom w:val="none" w:sz="0" w:space="0" w:color="auto"/>
            <w:right w:val="none" w:sz="0" w:space="0" w:color="auto"/>
          </w:divBdr>
        </w:div>
        <w:div w:id="2055961788">
          <w:marLeft w:val="0"/>
          <w:marRight w:val="0"/>
          <w:marTop w:val="0"/>
          <w:marBottom w:val="0"/>
          <w:divBdr>
            <w:top w:val="none" w:sz="0" w:space="0" w:color="auto"/>
            <w:left w:val="none" w:sz="0" w:space="0" w:color="auto"/>
            <w:bottom w:val="none" w:sz="0" w:space="0" w:color="auto"/>
            <w:right w:val="none" w:sz="0" w:space="0" w:color="auto"/>
          </w:divBdr>
        </w:div>
        <w:div w:id="1687831413">
          <w:marLeft w:val="0"/>
          <w:marRight w:val="0"/>
          <w:marTop w:val="0"/>
          <w:marBottom w:val="0"/>
          <w:divBdr>
            <w:top w:val="none" w:sz="0" w:space="0" w:color="auto"/>
            <w:left w:val="none" w:sz="0" w:space="0" w:color="auto"/>
            <w:bottom w:val="none" w:sz="0" w:space="0" w:color="auto"/>
            <w:right w:val="none" w:sz="0" w:space="0" w:color="auto"/>
          </w:divBdr>
        </w:div>
        <w:div w:id="64186012">
          <w:marLeft w:val="0"/>
          <w:marRight w:val="0"/>
          <w:marTop w:val="0"/>
          <w:marBottom w:val="0"/>
          <w:divBdr>
            <w:top w:val="none" w:sz="0" w:space="0" w:color="auto"/>
            <w:left w:val="none" w:sz="0" w:space="0" w:color="auto"/>
            <w:bottom w:val="none" w:sz="0" w:space="0" w:color="auto"/>
            <w:right w:val="none" w:sz="0" w:space="0" w:color="auto"/>
          </w:divBdr>
        </w:div>
        <w:div w:id="301734243">
          <w:marLeft w:val="0"/>
          <w:marRight w:val="0"/>
          <w:marTop w:val="0"/>
          <w:marBottom w:val="0"/>
          <w:divBdr>
            <w:top w:val="none" w:sz="0" w:space="0" w:color="auto"/>
            <w:left w:val="none" w:sz="0" w:space="0" w:color="auto"/>
            <w:bottom w:val="none" w:sz="0" w:space="0" w:color="auto"/>
            <w:right w:val="none" w:sz="0" w:space="0" w:color="auto"/>
          </w:divBdr>
        </w:div>
        <w:div w:id="2014993069">
          <w:marLeft w:val="0"/>
          <w:marRight w:val="0"/>
          <w:marTop w:val="0"/>
          <w:marBottom w:val="0"/>
          <w:divBdr>
            <w:top w:val="none" w:sz="0" w:space="0" w:color="auto"/>
            <w:left w:val="none" w:sz="0" w:space="0" w:color="auto"/>
            <w:bottom w:val="none" w:sz="0" w:space="0" w:color="auto"/>
            <w:right w:val="none" w:sz="0" w:space="0" w:color="auto"/>
          </w:divBdr>
        </w:div>
        <w:div w:id="1296790756">
          <w:marLeft w:val="0"/>
          <w:marRight w:val="0"/>
          <w:marTop w:val="0"/>
          <w:marBottom w:val="0"/>
          <w:divBdr>
            <w:top w:val="none" w:sz="0" w:space="0" w:color="auto"/>
            <w:left w:val="none" w:sz="0" w:space="0" w:color="auto"/>
            <w:bottom w:val="none" w:sz="0" w:space="0" w:color="auto"/>
            <w:right w:val="none" w:sz="0" w:space="0" w:color="auto"/>
          </w:divBdr>
        </w:div>
        <w:div w:id="1740713513">
          <w:marLeft w:val="0"/>
          <w:marRight w:val="0"/>
          <w:marTop w:val="0"/>
          <w:marBottom w:val="0"/>
          <w:divBdr>
            <w:top w:val="none" w:sz="0" w:space="0" w:color="auto"/>
            <w:left w:val="none" w:sz="0" w:space="0" w:color="auto"/>
            <w:bottom w:val="none" w:sz="0" w:space="0" w:color="auto"/>
            <w:right w:val="none" w:sz="0" w:space="0" w:color="auto"/>
          </w:divBdr>
        </w:div>
        <w:div w:id="2046520152">
          <w:marLeft w:val="0"/>
          <w:marRight w:val="0"/>
          <w:marTop w:val="0"/>
          <w:marBottom w:val="0"/>
          <w:divBdr>
            <w:top w:val="none" w:sz="0" w:space="0" w:color="auto"/>
            <w:left w:val="none" w:sz="0" w:space="0" w:color="auto"/>
            <w:bottom w:val="none" w:sz="0" w:space="0" w:color="auto"/>
            <w:right w:val="none" w:sz="0" w:space="0" w:color="auto"/>
          </w:divBdr>
        </w:div>
        <w:div w:id="859591811">
          <w:marLeft w:val="0"/>
          <w:marRight w:val="0"/>
          <w:marTop w:val="0"/>
          <w:marBottom w:val="0"/>
          <w:divBdr>
            <w:top w:val="none" w:sz="0" w:space="0" w:color="auto"/>
            <w:left w:val="none" w:sz="0" w:space="0" w:color="auto"/>
            <w:bottom w:val="none" w:sz="0" w:space="0" w:color="auto"/>
            <w:right w:val="none" w:sz="0" w:space="0" w:color="auto"/>
          </w:divBdr>
        </w:div>
        <w:div w:id="1483963344">
          <w:marLeft w:val="0"/>
          <w:marRight w:val="0"/>
          <w:marTop w:val="0"/>
          <w:marBottom w:val="0"/>
          <w:divBdr>
            <w:top w:val="none" w:sz="0" w:space="0" w:color="auto"/>
            <w:left w:val="none" w:sz="0" w:space="0" w:color="auto"/>
            <w:bottom w:val="none" w:sz="0" w:space="0" w:color="auto"/>
            <w:right w:val="none" w:sz="0" w:space="0" w:color="auto"/>
          </w:divBdr>
        </w:div>
        <w:div w:id="322859442">
          <w:marLeft w:val="0"/>
          <w:marRight w:val="0"/>
          <w:marTop w:val="0"/>
          <w:marBottom w:val="0"/>
          <w:divBdr>
            <w:top w:val="none" w:sz="0" w:space="0" w:color="auto"/>
            <w:left w:val="none" w:sz="0" w:space="0" w:color="auto"/>
            <w:bottom w:val="none" w:sz="0" w:space="0" w:color="auto"/>
            <w:right w:val="none" w:sz="0" w:space="0" w:color="auto"/>
          </w:divBdr>
        </w:div>
        <w:div w:id="1513450898">
          <w:marLeft w:val="0"/>
          <w:marRight w:val="0"/>
          <w:marTop w:val="0"/>
          <w:marBottom w:val="0"/>
          <w:divBdr>
            <w:top w:val="none" w:sz="0" w:space="0" w:color="auto"/>
            <w:left w:val="none" w:sz="0" w:space="0" w:color="auto"/>
            <w:bottom w:val="none" w:sz="0" w:space="0" w:color="auto"/>
            <w:right w:val="none" w:sz="0" w:space="0" w:color="auto"/>
          </w:divBdr>
        </w:div>
        <w:div w:id="586697980">
          <w:marLeft w:val="0"/>
          <w:marRight w:val="0"/>
          <w:marTop w:val="0"/>
          <w:marBottom w:val="0"/>
          <w:divBdr>
            <w:top w:val="none" w:sz="0" w:space="0" w:color="auto"/>
            <w:left w:val="none" w:sz="0" w:space="0" w:color="auto"/>
            <w:bottom w:val="none" w:sz="0" w:space="0" w:color="auto"/>
            <w:right w:val="none" w:sz="0" w:space="0" w:color="auto"/>
          </w:divBdr>
        </w:div>
        <w:div w:id="208035108">
          <w:marLeft w:val="0"/>
          <w:marRight w:val="0"/>
          <w:marTop w:val="0"/>
          <w:marBottom w:val="0"/>
          <w:divBdr>
            <w:top w:val="none" w:sz="0" w:space="0" w:color="auto"/>
            <w:left w:val="none" w:sz="0" w:space="0" w:color="auto"/>
            <w:bottom w:val="none" w:sz="0" w:space="0" w:color="auto"/>
            <w:right w:val="none" w:sz="0" w:space="0" w:color="auto"/>
          </w:divBdr>
        </w:div>
        <w:div w:id="1272475364">
          <w:marLeft w:val="0"/>
          <w:marRight w:val="0"/>
          <w:marTop w:val="0"/>
          <w:marBottom w:val="0"/>
          <w:divBdr>
            <w:top w:val="none" w:sz="0" w:space="0" w:color="auto"/>
            <w:left w:val="none" w:sz="0" w:space="0" w:color="auto"/>
            <w:bottom w:val="none" w:sz="0" w:space="0" w:color="auto"/>
            <w:right w:val="none" w:sz="0" w:space="0" w:color="auto"/>
          </w:divBdr>
        </w:div>
        <w:div w:id="1310204739">
          <w:marLeft w:val="0"/>
          <w:marRight w:val="0"/>
          <w:marTop w:val="0"/>
          <w:marBottom w:val="0"/>
          <w:divBdr>
            <w:top w:val="none" w:sz="0" w:space="0" w:color="auto"/>
            <w:left w:val="none" w:sz="0" w:space="0" w:color="auto"/>
            <w:bottom w:val="none" w:sz="0" w:space="0" w:color="auto"/>
            <w:right w:val="none" w:sz="0" w:space="0" w:color="auto"/>
          </w:divBdr>
        </w:div>
        <w:div w:id="1405102735">
          <w:marLeft w:val="0"/>
          <w:marRight w:val="0"/>
          <w:marTop w:val="0"/>
          <w:marBottom w:val="0"/>
          <w:divBdr>
            <w:top w:val="none" w:sz="0" w:space="0" w:color="auto"/>
            <w:left w:val="none" w:sz="0" w:space="0" w:color="auto"/>
            <w:bottom w:val="none" w:sz="0" w:space="0" w:color="auto"/>
            <w:right w:val="none" w:sz="0" w:space="0" w:color="auto"/>
          </w:divBdr>
        </w:div>
        <w:div w:id="1467822220">
          <w:marLeft w:val="0"/>
          <w:marRight w:val="0"/>
          <w:marTop w:val="0"/>
          <w:marBottom w:val="0"/>
          <w:divBdr>
            <w:top w:val="none" w:sz="0" w:space="0" w:color="auto"/>
            <w:left w:val="none" w:sz="0" w:space="0" w:color="auto"/>
            <w:bottom w:val="none" w:sz="0" w:space="0" w:color="auto"/>
            <w:right w:val="none" w:sz="0" w:space="0" w:color="auto"/>
          </w:divBdr>
        </w:div>
        <w:div w:id="30033414">
          <w:marLeft w:val="0"/>
          <w:marRight w:val="0"/>
          <w:marTop w:val="0"/>
          <w:marBottom w:val="0"/>
          <w:divBdr>
            <w:top w:val="none" w:sz="0" w:space="0" w:color="auto"/>
            <w:left w:val="none" w:sz="0" w:space="0" w:color="auto"/>
            <w:bottom w:val="none" w:sz="0" w:space="0" w:color="auto"/>
            <w:right w:val="none" w:sz="0" w:space="0" w:color="auto"/>
          </w:divBdr>
        </w:div>
        <w:div w:id="1883127784">
          <w:marLeft w:val="0"/>
          <w:marRight w:val="0"/>
          <w:marTop w:val="0"/>
          <w:marBottom w:val="0"/>
          <w:divBdr>
            <w:top w:val="none" w:sz="0" w:space="0" w:color="auto"/>
            <w:left w:val="none" w:sz="0" w:space="0" w:color="auto"/>
            <w:bottom w:val="none" w:sz="0" w:space="0" w:color="auto"/>
            <w:right w:val="none" w:sz="0" w:space="0" w:color="auto"/>
          </w:divBdr>
        </w:div>
        <w:div w:id="1364087642">
          <w:marLeft w:val="0"/>
          <w:marRight w:val="0"/>
          <w:marTop w:val="0"/>
          <w:marBottom w:val="0"/>
          <w:divBdr>
            <w:top w:val="none" w:sz="0" w:space="0" w:color="auto"/>
            <w:left w:val="none" w:sz="0" w:space="0" w:color="auto"/>
            <w:bottom w:val="none" w:sz="0" w:space="0" w:color="auto"/>
            <w:right w:val="none" w:sz="0" w:space="0" w:color="auto"/>
          </w:divBdr>
        </w:div>
        <w:div w:id="1155413726">
          <w:marLeft w:val="0"/>
          <w:marRight w:val="0"/>
          <w:marTop w:val="0"/>
          <w:marBottom w:val="0"/>
          <w:divBdr>
            <w:top w:val="none" w:sz="0" w:space="0" w:color="auto"/>
            <w:left w:val="none" w:sz="0" w:space="0" w:color="auto"/>
            <w:bottom w:val="none" w:sz="0" w:space="0" w:color="auto"/>
            <w:right w:val="none" w:sz="0" w:space="0" w:color="auto"/>
          </w:divBdr>
        </w:div>
        <w:div w:id="1881042660">
          <w:marLeft w:val="0"/>
          <w:marRight w:val="0"/>
          <w:marTop w:val="0"/>
          <w:marBottom w:val="0"/>
          <w:divBdr>
            <w:top w:val="none" w:sz="0" w:space="0" w:color="auto"/>
            <w:left w:val="none" w:sz="0" w:space="0" w:color="auto"/>
            <w:bottom w:val="none" w:sz="0" w:space="0" w:color="auto"/>
            <w:right w:val="none" w:sz="0" w:space="0" w:color="auto"/>
          </w:divBdr>
        </w:div>
        <w:div w:id="1156801335">
          <w:marLeft w:val="0"/>
          <w:marRight w:val="0"/>
          <w:marTop w:val="0"/>
          <w:marBottom w:val="0"/>
          <w:divBdr>
            <w:top w:val="none" w:sz="0" w:space="0" w:color="auto"/>
            <w:left w:val="none" w:sz="0" w:space="0" w:color="auto"/>
            <w:bottom w:val="none" w:sz="0" w:space="0" w:color="auto"/>
            <w:right w:val="none" w:sz="0" w:space="0" w:color="auto"/>
          </w:divBdr>
        </w:div>
        <w:div w:id="1804351764">
          <w:marLeft w:val="0"/>
          <w:marRight w:val="0"/>
          <w:marTop w:val="0"/>
          <w:marBottom w:val="0"/>
          <w:divBdr>
            <w:top w:val="none" w:sz="0" w:space="0" w:color="auto"/>
            <w:left w:val="none" w:sz="0" w:space="0" w:color="auto"/>
            <w:bottom w:val="none" w:sz="0" w:space="0" w:color="auto"/>
            <w:right w:val="none" w:sz="0" w:space="0" w:color="auto"/>
          </w:divBdr>
        </w:div>
        <w:div w:id="1015306691">
          <w:marLeft w:val="0"/>
          <w:marRight w:val="0"/>
          <w:marTop w:val="0"/>
          <w:marBottom w:val="0"/>
          <w:divBdr>
            <w:top w:val="none" w:sz="0" w:space="0" w:color="auto"/>
            <w:left w:val="none" w:sz="0" w:space="0" w:color="auto"/>
            <w:bottom w:val="none" w:sz="0" w:space="0" w:color="auto"/>
            <w:right w:val="none" w:sz="0" w:space="0" w:color="auto"/>
          </w:divBdr>
        </w:div>
        <w:div w:id="946354818">
          <w:marLeft w:val="0"/>
          <w:marRight w:val="0"/>
          <w:marTop w:val="0"/>
          <w:marBottom w:val="0"/>
          <w:divBdr>
            <w:top w:val="none" w:sz="0" w:space="0" w:color="auto"/>
            <w:left w:val="none" w:sz="0" w:space="0" w:color="auto"/>
            <w:bottom w:val="none" w:sz="0" w:space="0" w:color="auto"/>
            <w:right w:val="none" w:sz="0" w:space="0" w:color="auto"/>
          </w:divBdr>
        </w:div>
        <w:div w:id="659313131">
          <w:marLeft w:val="0"/>
          <w:marRight w:val="0"/>
          <w:marTop w:val="0"/>
          <w:marBottom w:val="0"/>
          <w:divBdr>
            <w:top w:val="none" w:sz="0" w:space="0" w:color="auto"/>
            <w:left w:val="none" w:sz="0" w:space="0" w:color="auto"/>
            <w:bottom w:val="none" w:sz="0" w:space="0" w:color="auto"/>
            <w:right w:val="none" w:sz="0" w:space="0" w:color="auto"/>
          </w:divBdr>
        </w:div>
        <w:div w:id="1081026299">
          <w:marLeft w:val="0"/>
          <w:marRight w:val="0"/>
          <w:marTop w:val="0"/>
          <w:marBottom w:val="0"/>
          <w:divBdr>
            <w:top w:val="none" w:sz="0" w:space="0" w:color="auto"/>
            <w:left w:val="none" w:sz="0" w:space="0" w:color="auto"/>
            <w:bottom w:val="none" w:sz="0" w:space="0" w:color="auto"/>
            <w:right w:val="none" w:sz="0" w:space="0" w:color="auto"/>
          </w:divBdr>
        </w:div>
        <w:div w:id="1903368062">
          <w:marLeft w:val="0"/>
          <w:marRight w:val="0"/>
          <w:marTop w:val="0"/>
          <w:marBottom w:val="0"/>
          <w:divBdr>
            <w:top w:val="none" w:sz="0" w:space="0" w:color="auto"/>
            <w:left w:val="none" w:sz="0" w:space="0" w:color="auto"/>
            <w:bottom w:val="none" w:sz="0" w:space="0" w:color="auto"/>
            <w:right w:val="none" w:sz="0" w:space="0" w:color="auto"/>
          </w:divBdr>
        </w:div>
        <w:div w:id="1350835042">
          <w:marLeft w:val="0"/>
          <w:marRight w:val="0"/>
          <w:marTop w:val="0"/>
          <w:marBottom w:val="0"/>
          <w:divBdr>
            <w:top w:val="none" w:sz="0" w:space="0" w:color="auto"/>
            <w:left w:val="none" w:sz="0" w:space="0" w:color="auto"/>
            <w:bottom w:val="none" w:sz="0" w:space="0" w:color="auto"/>
            <w:right w:val="none" w:sz="0" w:space="0" w:color="auto"/>
          </w:divBdr>
        </w:div>
      </w:divsChild>
    </w:div>
    <w:div w:id="1165585580">
      <w:bodyDiv w:val="1"/>
      <w:marLeft w:val="0"/>
      <w:marRight w:val="0"/>
      <w:marTop w:val="0"/>
      <w:marBottom w:val="0"/>
      <w:divBdr>
        <w:top w:val="none" w:sz="0" w:space="0" w:color="auto"/>
        <w:left w:val="none" w:sz="0" w:space="0" w:color="auto"/>
        <w:bottom w:val="none" w:sz="0" w:space="0" w:color="auto"/>
        <w:right w:val="none" w:sz="0" w:space="0" w:color="auto"/>
      </w:divBdr>
      <w:divsChild>
        <w:div w:id="317543535">
          <w:marLeft w:val="0"/>
          <w:marRight w:val="0"/>
          <w:marTop w:val="0"/>
          <w:marBottom w:val="0"/>
          <w:divBdr>
            <w:top w:val="none" w:sz="0" w:space="0" w:color="auto"/>
            <w:left w:val="none" w:sz="0" w:space="0" w:color="auto"/>
            <w:bottom w:val="none" w:sz="0" w:space="0" w:color="auto"/>
            <w:right w:val="none" w:sz="0" w:space="0" w:color="auto"/>
          </w:divBdr>
          <w:divsChild>
            <w:div w:id="1252665335">
              <w:marLeft w:val="0"/>
              <w:marRight w:val="0"/>
              <w:marTop w:val="0"/>
              <w:marBottom w:val="0"/>
              <w:divBdr>
                <w:top w:val="none" w:sz="0" w:space="0" w:color="auto"/>
                <w:left w:val="none" w:sz="0" w:space="0" w:color="auto"/>
                <w:bottom w:val="none" w:sz="0" w:space="0" w:color="auto"/>
                <w:right w:val="none" w:sz="0" w:space="0" w:color="auto"/>
              </w:divBdr>
            </w:div>
            <w:div w:id="882324405">
              <w:marLeft w:val="0"/>
              <w:marRight w:val="0"/>
              <w:marTop w:val="0"/>
              <w:marBottom w:val="0"/>
              <w:divBdr>
                <w:top w:val="none" w:sz="0" w:space="0" w:color="auto"/>
                <w:left w:val="none" w:sz="0" w:space="0" w:color="auto"/>
                <w:bottom w:val="none" w:sz="0" w:space="0" w:color="auto"/>
                <w:right w:val="none" w:sz="0" w:space="0" w:color="auto"/>
              </w:divBdr>
            </w:div>
            <w:div w:id="1262682332">
              <w:marLeft w:val="0"/>
              <w:marRight w:val="0"/>
              <w:marTop w:val="0"/>
              <w:marBottom w:val="0"/>
              <w:divBdr>
                <w:top w:val="none" w:sz="0" w:space="0" w:color="auto"/>
                <w:left w:val="none" w:sz="0" w:space="0" w:color="auto"/>
                <w:bottom w:val="none" w:sz="0" w:space="0" w:color="auto"/>
                <w:right w:val="none" w:sz="0" w:space="0" w:color="auto"/>
              </w:divBdr>
            </w:div>
            <w:div w:id="2110083592">
              <w:marLeft w:val="0"/>
              <w:marRight w:val="0"/>
              <w:marTop w:val="0"/>
              <w:marBottom w:val="0"/>
              <w:divBdr>
                <w:top w:val="none" w:sz="0" w:space="0" w:color="auto"/>
                <w:left w:val="none" w:sz="0" w:space="0" w:color="auto"/>
                <w:bottom w:val="none" w:sz="0" w:space="0" w:color="auto"/>
                <w:right w:val="none" w:sz="0" w:space="0" w:color="auto"/>
              </w:divBdr>
            </w:div>
            <w:div w:id="760613356">
              <w:marLeft w:val="0"/>
              <w:marRight w:val="0"/>
              <w:marTop w:val="0"/>
              <w:marBottom w:val="0"/>
              <w:divBdr>
                <w:top w:val="none" w:sz="0" w:space="0" w:color="auto"/>
                <w:left w:val="none" w:sz="0" w:space="0" w:color="auto"/>
                <w:bottom w:val="none" w:sz="0" w:space="0" w:color="auto"/>
                <w:right w:val="none" w:sz="0" w:space="0" w:color="auto"/>
              </w:divBdr>
            </w:div>
            <w:div w:id="1012563383">
              <w:marLeft w:val="0"/>
              <w:marRight w:val="0"/>
              <w:marTop w:val="0"/>
              <w:marBottom w:val="0"/>
              <w:divBdr>
                <w:top w:val="none" w:sz="0" w:space="0" w:color="auto"/>
                <w:left w:val="none" w:sz="0" w:space="0" w:color="auto"/>
                <w:bottom w:val="none" w:sz="0" w:space="0" w:color="auto"/>
                <w:right w:val="none" w:sz="0" w:space="0" w:color="auto"/>
              </w:divBdr>
            </w:div>
            <w:div w:id="148983048">
              <w:marLeft w:val="0"/>
              <w:marRight w:val="0"/>
              <w:marTop w:val="0"/>
              <w:marBottom w:val="0"/>
              <w:divBdr>
                <w:top w:val="none" w:sz="0" w:space="0" w:color="auto"/>
                <w:left w:val="none" w:sz="0" w:space="0" w:color="auto"/>
                <w:bottom w:val="none" w:sz="0" w:space="0" w:color="auto"/>
                <w:right w:val="none" w:sz="0" w:space="0" w:color="auto"/>
              </w:divBdr>
            </w:div>
            <w:div w:id="1295716161">
              <w:marLeft w:val="0"/>
              <w:marRight w:val="0"/>
              <w:marTop w:val="0"/>
              <w:marBottom w:val="0"/>
              <w:divBdr>
                <w:top w:val="none" w:sz="0" w:space="0" w:color="auto"/>
                <w:left w:val="none" w:sz="0" w:space="0" w:color="auto"/>
                <w:bottom w:val="none" w:sz="0" w:space="0" w:color="auto"/>
                <w:right w:val="none" w:sz="0" w:space="0" w:color="auto"/>
              </w:divBdr>
            </w:div>
            <w:div w:id="1063526353">
              <w:marLeft w:val="0"/>
              <w:marRight w:val="0"/>
              <w:marTop w:val="0"/>
              <w:marBottom w:val="0"/>
              <w:divBdr>
                <w:top w:val="none" w:sz="0" w:space="0" w:color="auto"/>
                <w:left w:val="none" w:sz="0" w:space="0" w:color="auto"/>
                <w:bottom w:val="none" w:sz="0" w:space="0" w:color="auto"/>
                <w:right w:val="none" w:sz="0" w:space="0" w:color="auto"/>
              </w:divBdr>
            </w:div>
            <w:div w:id="406457707">
              <w:marLeft w:val="0"/>
              <w:marRight w:val="0"/>
              <w:marTop w:val="0"/>
              <w:marBottom w:val="0"/>
              <w:divBdr>
                <w:top w:val="none" w:sz="0" w:space="0" w:color="auto"/>
                <w:left w:val="none" w:sz="0" w:space="0" w:color="auto"/>
                <w:bottom w:val="none" w:sz="0" w:space="0" w:color="auto"/>
                <w:right w:val="none" w:sz="0" w:space="0" w:color="auto"/>
              </w:divBdr>
            </w:div>
            <w:div w:id="1154222737">
              <w:marLeft w:val="0"/>
              <w:marRight w:val="0"/>
              <w:marTop w:val="0"/>
              <w:marBottom w:val="0"/>
              <w:divBdr>
                <w:top w:val="none" w:sz="0" w:space="0" w:color="auto"/>
                <w:left w:val="none" w:sz="0" w:space="0" w:color="auto"/>
                <w:bottom w:val="none" w:sz="0" w:space="0" w:color="auto"/>
                <w:right w:val="none" w:sz="0" w:space="0" w:color="auto"/>
              </w:divBdr>
            </w:div>
            <w:div w:id="1604532029">
              <w:marLeft w:val="0"/>
              <w:marRight w:val="0"/>
              <w:marTop w:val="0"/>
              <w:marBottom w:val="0"/>
              <w:divBdr>
                <w:top w:val="none" w:sz="0" w:space="0" w:color="auto"/>
                <w:left w:val="none" w:sz="0" w:space="0" w:color="auto"/>
                <w:bottom w:val="none" w:sz="0" w:space="0" w:color="auto"/>
                <w:right w:val="none" w:sz="0" w:space="0" w:color="auto"/>
              </w:divBdr>
            </w:div>
            <w:div w:id="637224388">
              <w:marLeft w:val="0"/>
              <w:marRight w:val="0"/>
              <w:marTop w:val="0"/>
              <w:marBottom w:val="0"/>
              <w:divBdr>
                <w:top w:val="none" w:sz="0" w:space="0" w:color="auto"/>
                <w:left w:val="none" w:sz="0" w:space="0" w:color="auto"/>
                <w:bottom w:val="none" w:sz="0" w:space="0" w:color="auto"/>
                <w:right w:val="none" w:sz="0" w:space="0" w:color="auto"/>
              </w:divBdr>
            </w:div>
            <w:div w:id="2100708582">
              <w:marLeft w:val="0"/>
              <w:marRight w:val="0"/>
              <w:marTop w:val="0"/>
              <w:marBottom w:val="0"/>
              <w:divBdr>
                <w:top w:val="none" w:sz="0" w:space="0" w:color="auto"/>
                <w:left w:val="none" w:sz="0" w:space="0" w:color="auto"/>
                <w:bottom w:val="none" w:sz="0" w:space="0" w:color="auto"/>
                <w:right w:val="none" w:sz="0" w:space="0" w:color="auto"/>
              </w:divBdr>
            </w:div>
            <w:div w:id="1078986922">
              <w:marLeft w:val="0"/>
              <w:marRight w:val="0"/>
              <w:marTop w:val="0"/>
              <w:marBottom w:val="0"/>
              <w:divBdr>
                <w:top w:val="none" w:sz="0" w:space="0" w:color="auto"/>
                <w:left w:val="none" w:sz="0" w:space="0" w:color="auto"/>
                <w:bottom w:val="none" w:sz="0" w:space="0" w:color="auto"/>
                <w:right w:val="none" w:sz="0" w:space="0" w:color="auto"/>
              </w:divBdr>
            </w:div>
            <w:div w:id="1937513959">
              <w:marLeft w:val="0"/>
              <w:marRight w:val="0"/>
              <w:marTop w:val="0"/>
              <w:marBottom w:val="0"/>
              <w:divBdr>
                <w:top w:val="none" w:sz="0" w:space="0" w:color="auto"/>
                <w:left w:val="none" w:sz="0" w:space="0" w:color="auto"/>
                <w:bottom w:val="none" w:sz="0" w:space="0" w:color="auto"/>
                <w:right w:val="none" w:sz="0" w:space="0" w:color="auto"/>
              </w:divBdr>
            </w:div>
            <w:div w:id="667754545">
              <w:marLeft w:val="0"/>
              <w:marRight w:val="0"/>
              <w:marTop w:val="0"/>
              <w:marBottom w:val="0"/>
              <w:divBdr>
                <w:top w:val="none" w:sz="0" w:space="0" w:color="auto"/>
                <w:left w:val="none" w:sz="0" w:space="0" w:color="auto"/>
                <w:bottom w:val="none" w:sz="0" w:space="0" w:color="auto"/>
                <w:right w:val="none" w:sz="0" w:space="0" w:color="auto"/>
              </w:divBdr>
            </w:div>
            <w:div w:id="181628596">
              <w:marLeft w:val="0"/>
              <w:marRight w:val="0"/>
              <w:marTop w:val="0"/>
              <w:marBottom w:val="0"/>
              <w:divBdr>
                <w:top w:val="none" w:sz="0" w:space="0" w:color="auto"/>
                <w:left w:val="none" w:sz="0" w:space="0" w:color="auto"/>
                <w:bottom w:val="none" w:sz="0" w:space="0" w:color="auto"/>
                <w:right w:val="none" w:sz="0" w:space="0" w:color="auto"/>
              </w:divBdr>
            </w:div>
            <w:div w:id="611745178">
              <w:marLeft w:val="0"/>
              <w:marRight w:val="0"/>
              <w:marTop w:val="0"/>
              <w:marBottom w:val="0"/>
              <w:divBdr>
                <w:top w:val="none" w:sz="0" w:space="0" w:color="auto"/>
                <w:left w:val="none" w:sz="0" w:space="0" w:color="auto"/>
                <w:bottom w:val="none" w:sz="0" w:space="0" w:color="auto"/>
                <w:right w:val="none" w:sz="0" w:space="0" w:color="auto"/>
              </w:divBdr>
            </w:div>
            <w:div w:id="455880445">
              <w:marLeft w:val="0"/>
              <w:marRight w:val="0"/>
              <w:marTop w:val="0"/>
              <w:marBottom w:val="0"/>
              <w:divBdr>
                <w:top w:val="none" w:sz="0" w:space="0" w:color="auto"/>
                <w:left w:val="none" w:sz="0" w:space="0" w:color="auto"/>
                <w:bottom w:val="none" w:sz="0" w:space="0" w:color="auto"/>
                <w:right w:val="none" w:sz="0" w:space="0" w:color="auto"/>
              </w:divBdr>
            </w:div>
            <w:div w:id="1137920180">
              <w:marLeft w:val="0"/>
              <w:marRight w:val="0"/>
              <w:marTop w:val="0"/>
              <w:marBottom w:val="0"/>
              <w:divBdr>
                <w:top w:val="none" w:sz="0" w:space="0" w:color="auto"/>
                <w:left w:val="none" w:sz="0" w:space="0" w:color="auto"/>
                <w:bottom w:val="none" w:sz="0" w:space="0" w:color="auto"/>
                <w:right w:val="none" w:sz="0" w:space="0" w:color="auto"/>
              </w:divBdr>
            </w:div>
            <w:div w:id="1293974577">
              <w:marLeft w:val="0"/>
              <w:marRight w:val="0"/>
              <w:marTop w:val="0"/>
              <w:marBottom w:val="0"/>
              <w:divBdr>
                <w:top w:val="none" w:sz="0" w:space="0" w:color="auto"/>
                <w:left w:val="none" w:sz="0" w:space="0" w:color="auto"/>
                <w:bottom w:val="none" w:sz="0" w:space="0" w:color="auto"/>
                <w:right w:val="none" w:sz="0" w:space="0" w:color="auto"/>
              </w:divBdr>
            </w:div>
            <w:div w:id="2114590146">
              <w:marLeft w:val="0"/>
              <w:marRight w:val="0"/>
              <w:marTop w:val="0"/>
              <w:marBottom w:val="0"/>
              <w:divBdr>
                <w:top w:val="none" w:sz="0" w:space="0" w:color="auto"/>
                <w:left w:val="none" w:sz="0" w:space="0" w:color="auto"/>
                <w:bottom w:val="none" w:sz="0" w:space="0" w:color="auto"/>
                <w:right w:val="none" w:sz="0" w:space="0" w:color="auto"/>
              </w:divBdr>
            </w:div>
            <w:div w:id="903683041">
              <w:marLeft w:val="0"/>
              <w:marRight w:val="0"/>
              <w:marTop w:val="0"/>
              <w:marBottom w:val="0"/>
              <w:divBdr>
                <w:top w:val="none" w:sz="0" w:space="0" w:color="auto"/>
                <w:left w:val="none" w:sz="0" w:space="0" w:color="auto"/>
                <w:bottom w:val="none" w:sz="0" w:space="0" w:color="auto"/>
                <w:right w:val="none" w:sz="0" w:space="0" w:color="auto"/>
              </w:divBdr>
            </w:div>
            <w:div w:id="430584498">
              <w:marLeft w:val="0"/>
              <w:marRight w:val="0"/>
              <w:marTop w:val="0"/>
              <w:marBottom w:val="0"/>
              <w:divBdr>
                <w:top w:val="none" w:sz="0" w:space="0" w:color="auto"/>
                <w:left w:val="none" w:sz="0" w:space="0" w:color="auto"/>
                <w:bottom w:val="none" w:sz="0" w:space="0" w:color="auto"/>
                <w:right w:val="none" w:sz="0" w:space="0" w:color="auto"/>
              </w:divBdr>
            </w:div>
            <w:div w:id="1768309144">
              <w:marLeft w:val="0"/>
              <w:marRight w:val="0"/>
              <w:marTop w:val="0"/>
              <w:marBottom w:val="0"/>
              <w:divBdr>
                <w:top w:val="none" w:sz="0" w:space="0" w:color="auto"/>
                <w:left w:val="none" w:sz="0" w:space="0" w:color="auto"/>
                <w:bottom w:val="none" w:sz="0" w:space="0" w:color="auto"/>
                <w:right w:val="none" w:sz="0" w:space="0" w:color="auto"/>
              </w:divBdr>
            </w:div>
            <w:div w:id="2112898368">
              <w:marLeft w:val="0"/>
              <w:marRight w:val="0"/>
              <w:marTop w:val="0"/>
              <w:marBottom w:val="0"/>
              <w:divBdr>
                <w:top w:val="none" w:sz="0" w:space="0" w:color="auto"/>
                <w:left w:val="none" w:sz="0" w:space="0" w:color="auto"/>
                <w:bottom w:val="none" w:sz="0" w:space="0" w:color="auto"/>
                <w:right w:val="none" w:sz="0" w:space="0" w:color="auto"/>
              </w:divBdr>
            </w:div>
            <w:div w:id="1030881903">
              <w:marLeft w:val="0"/>
              <w:marRight w:val="0"/>
              <w:marTop w:val="0"/>
              <w:marBottom w:val="0"/>
              <w:divBdr>
                <w:top w:val="none" w:sz="0" w:space="0" w:color="auto"/>
                <w:left w:val="none" w:sz="0" w:space="0" w:color="auto"/>
                <w:bottom w:val="none" w:sz="0" w:space="0" w:color="auto"/>
                <w:right w:val="none" w:sz="0" w:space="0" w:color="auto"/>
              </w:divBdr>
            </w:div>
            <w:div w:id="1865435737">
              <w:marLeft w:val="0"/>
              <w:marRight w:val="0"/>
              <w:marTop w:val="0"/>
              <w:marBottom w:val="0"/>
              <w:divBdr>
                <w:top w:val="none" w:sz="0" w:space="0" w:color="auto"/>
                <w:left w:val="none" w:sz="0" w:space="0" w:color="auto"/>
                <w:bottom w:val="none" w:sz="0" w:space="0" w:color="auto"/>
                <w:right w:val="none" w:sz="0" w:space="0" w:color="auto"/>
              </w:divBdr>
            </w:div>
            <w:div w:id="1315723043">
              <w:marLeft w:val="0"/>
              <w:marRight w:val="0"/>
              <w:marTop w:val="0"/>
              <w:marBottom w:val="0"/>
              <w:divBdr>
                <w:top w:val="none" w:sz="0" w:space="0" w:color="auto"/>
                <w:left w:val="none" w:sz="0" w:space="0" w:color="auto"/>
                <w:bottom w:val="none" w:sz="0" w:space="0" w:color="auto"/>
                <w:right w:val="none" w:sz="0" w:space="0" w:color="auto"/>
              </w:divBdr>
            </w:div>
            <w:div w:id="2061321805">
              <w:marLeft w:val="0"/>
              <w:marRight w:val="0"/>
              <w:marTop w:val="0"/>
              <w:marBottom w:val="0"/>
              <w:divBdr>
                <w:top w:val="none" w:sz="0" w:space="0" w:color="auto"/>
                <w:left w:val="none" w:sz="0" w:space="0" w:color="auto"/>
                <w:bottom w:val="none" w:sz="0" w:space="0" w:color="auto"/>
                <w:right w:val="none" w:sz="0" w:space="0" w:color="auto"/>
              </w:divBdr>
            </w:div>
            <w:div w:id="596711919">
              <w:marLeft w:val="0"/>
              <w:marRight w:val="0"/>
              <w:marTop w:val="0"/>
              <w:marBottom w:val="0"/>
              <w:divBdr>
                <w:top w:val="none" w:sz="0" w:space="0" w:color="auto"/>
                <w:left w:val="none" w:sz="0" w:space="0" w:color="auto"/>
                <w:bottom w:val="none" w:sz="0" w:space="0" w:color="auto"/>
                <w:right w:val="none" w:sz="0" w:space="0" w:color="auto"/>
              </w:divBdr>
            </w:div>
            <w:div w:id="2116092878">
              <w:marLeft w:val="0"/>
              <w:marRight w:val="0"/>
              <w:marTop w:val="0"/>
              <w:marBottom w:val="0"/>
              <w:divBdr>
                <w:top w:val="none" w:sz="0" w:space="0" w:color="auto"/>
                <w:left w:val="none" w:sz="0" w:space="0" w:color="auto"/>
                <w:bottom w:val="none" w:sz="0" w:space="0" w:color="auto"/>
                <w:right w:val="none" w:sz="0" w:space="0" w:color="auto"/>
              </w:divBdr>
            </w:div>
            <w:div w:id="1815222979">
              <w:marLeft w:val="0"/>
              <w:marRight w:val="0"/>
              <w:marTop w:val="0"/>
              <w:marBottom w:val="0"/>
              <w:divBdr>
                <w:top w:val="none" w:sz="0" w:space="0" w:color="auto"/>
                <w:left w:val="none" w:sz="0" w:space="0" w:color="auto"/>
                <w:bottom w:val="none" w:sz="0" w:space="0" w:color="auto"/>
                <w:right w:val="none" w:sz="0" w:space="0" w:color="auto"/>
              </w:divBdr>
            </w:div>
            <w:div w:id="1016734388">
              <w:marLeft w:val="0"/>
              <w:marRight w:val="0"/>
              <w:marTop w:val="0"/>
              <w:marBottom w:val="0"/>
              <w:divBdr>
                <w:top w:val="none" w:sz="0" w:space="0" w:color="auto"/>
                <w:left w:val="none" w:sz="0" w:space="0" w:color="auto"/>
                <w:bottom w:val="none" w:sz="0" w:space="0" w:color="auto"/>
                <w:right w:val="none" w:sz="0" w:space="0" w:color="auto"/>
              </w:divBdr>
            </w:div>
            <w:div w:id="1848518141">
              <w:marLeft w:val="0"/>
              <w:marRight w:val="0"/>
              <w:marTop w:val="0"/>
              <w:marBottom w:val="0"/>
              <w:divBdr>
                <w:top w:val="none" w:sz="0" w:space="0" w:color="auto"/>
                <w:left w:val="none" w:sz="0" w:space="0" w:color="auto"/>
                <w:bottom w:val="none" w:sz="0" w:space="0" w:color="auto"/>
                <w:right w:val="none" w:sz="0" w:space="0" w:color="auto"/>
              </w:divBdr>
            </w:div>
            <w:div w:id="1711804020">
              <w:marLeft w:val="0"/>
              <w:marRight w:val="0"/>
              <w:marTop w:val="0"/>
              <w:marBottom w:val="0"/>
              <w:divBdr>
                <w:top w:val="none" w:sz="0" w:space="0" w:color="auto"/>
                <w:left w:val="none" w:sz="0" w:space="0" w:color="auto"/>
                <w:bottom w:val="none" w:sz="0" w:space="0" w:color="auto"/>
                <w:right w:val="none" w:sz="0" w:space="0" w:color="auto"/>
              </w:divBdr>
            </w:div>
            <w:div w:id="1954550047">
              <w:marLeft w:val="0"/>
              <w:marRight w:val="0"/>
              <w:marTop w:val="0"/>
              <w:marBottom w:val="0"/>
              <w:divBdr>
                <w:top w:val="none" w:sz="0" w:space="0" w:color="auto"/>
                <w:left w:val="none" w:sz="0" w:space="0" w:color="auto"/>
                <w:bottom w:val="none" w:sz="0" w:space="0" w:color="auto"/>
                <w:right w:val="none" w:sz="0" w:space="0" w:color="auto"/>
              </w:divBdr>
            </w:div>
            <w:div w:id="1291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2635">
      <w:bodyDiv w:val="1"/>
      <w:marLeft w:val="0"/>
      <w:marRight w:val="0"/>
      <w:marTop w:val="0"/>
      <w:marBottom w:val="0"/>
      <w:divBdr>
        <w:top w:val="none" w:sz="0" w:space="0" w:color="auto"/>
        <w:left w:val="none" w:sz="0" w:space="0" w:color="auto"/>
        <w:bottom w:val="none" w:sz="0" w:space="0" w:color="auto"/>
        <w:right w:val="none" w:sz="0" w:space="0" w:color="auto"/>
      </w:divBdr>
      <w:divsChild>
        <w:div w:id="535780469">
          <w:marLeft w:val="0"/>
          <w:marRight w:val="0"/>
          <w:marTop w:val="0"/>
          <w:marBottom w:val="0"/>
          <w:divBdr>
            <w:top w:val="none" w:sz="0" w:space="0" w:color="auto"/>
            <w:left w:val="none" w:sz="0" w:space="0" w:color="auto"/>
            <w:bottom w:val="none" w:sz="0" w:space="0" w:color="auto"/>
            <w:right w:val="none" w:sz="0" w:space="0" w:color="auto"/>
          </w:divBdr>
          <w:divsChild>
            <w:div w:id="339506969">
              <w:marLeft w:val="0"/>
              <w:marRight w:val="0"/>
              <w:marTop w:val="0"/>
              <w:marBottom w:val="0"/>
              <w:divBdr>
                <w:top w:val="none" w:sz="0" w:space="0" w:color="auto"/>
                <w:left w:val="none" w:sz="0" w:space="0" w:color="auto"/>
                <w:bottom w:val="none" w:sz="0" w:space="0" w:color="auto"/>
                <w:right w:val="none" w:sz="0" w:space="0" w:color="auto"/>
              </w:divBdr>
              <w:divsChild>
                <w:div w:id="841967965">
                  <w:marLeft w:val="0"/>
                  <w:marRight w:val="0"/>
                  <w:marTop w:val="0"/>
                  <w:marBottom w:val="0"/>
                  <w:divBdr>
                    <w:top w:val="none" w:sz="0" w:space="0" w:color="auto"/>
                    <w:left w:val="none" w:sz="0" w:space="0" w:color="auto"/>
                    <w:bottom w:val="none" w:sz="0" w:space="0" w:color="auto"/>
                    <w:right w:val="none" w:sz="0" w:space="0" w:color="auto"/>
                  </w:divBdr>
                </w:div>
                <w:div w:id="1185249761">
                  <w:marLeft w:val="0"/>
                  <w:marRight w:val="0"/>
                  <w:marTop w:val="0"/>
                  <w:marBottom w:val="0"/>
                  <w:divBdr>
                    <w:top w:val="none" w:sz="0" w:space="0" w:color="auto"/>
                    <w:left w:val="none" w:sz="0" w:space="0" w:color="auto"/>
                    <w:bottom w:val="none" w:sz="0" w:space="0" w:color="auto"/>
                    <w:right w:val="none" w:sz="0" w:space="0" w:color="auto"/>
                  </w:divBdr>
                </w:div>
                <w:div w:id="1321353340">
                  <w:marLeft w:val="0"/>
                  <w:marRight w:val="0"/>
                  <w:marTop w:val="0"/>
                  <w:marBottom w:val="0"/>
                  <w:divBdr>
                    <w:top w:val="none" w:sz="0" w:space="0" w:color="auto"/>
                    <w:left w:val="none" w:sz="0" w:space="0" w:color="auto"/>
                    <w:bottom w:val="none" w:sz="0" w:space="0" w:color="auto"/>
                    <w:right w:val="none" w:sz="0" w:space="0" w:color="auto"/>
                  </w:divBdr>
                </w:div>
                <w:div w:id="1603759330">
                  <w:marLeft w:val="0"/>
                  <w:marRight w:val="0"/>
                  <w:marTop w:val="0"/>
                  <w:marBottom w:val="0"/>
                  <w:divBdr>
                    <w:top w:val="none" w:sz="0" w:space="0" w:color="auto"/>
                    <w:left w:val="none" w:sz="0" w:space="0" w:color="auto"/>
                    <w:bottom w:val="none" w:sz="0" w:space="0" w:color="auto"/>
                    <w:right w:val="none" w:sz="0" w:space="0" w:color="auto"/>
                  </w:divBdr>
                </w:div>
                <w:div w:id="1036854073">
                  <w:marLeft w:val="0"/>
                  <w:marRight w:val="0"/>
                  <w:marTop w:val="0"/>
                  <w:marBottom w:val="0"/>
                  <w:divBdr>
                    <w:top w:val="none" w:sz="0" w:space="0" w:color="auto"/>
                    <w:left w:val="none" w:sz="0" w:space="0" w:color="auto"/>
                    <w:bottom w:val="none" w:sz="0" w:space="0" w:color="auto"/>
                    <w:right w:val="none" w:sz="0" w:space="0" w:color="auto"/>
                  </w:divBdr>
                </w:div>
                <w:div w:id="1487429923">
                  <w:marLeft w:val="0"/>
                  <w:marRight w:val="0"/>
                  <w:marTop w:val="0"/>
                  <w:marBottom w:val="0"/>
                  <w:divBdr>
                    <w:top w:val="none" w:sz="0" w:space="0" w:color="auto"/>
                    <w:left w:val="none" w:sz="0" w:space="0" w:color="auto"/>
                    <w:bottom w:val="none" w:sz="0" w:space="0" w:color="auto"/>
                    <w:right w:val="none" w:sz="0" w:space="0" w:color="auto"/>
                  </w:divBdr>
                </w:div>
                <w:div w:id="733159968">
                  <w:marLeft w:val="0"/>
                  <w:marRight w:val="0"/>
                  <w:marTop w:val="0"/>
                  <w:marBottom w:val="0"/>
                  <w:divBdr>
                    <w:top w:val="none" w:sz="0" w:space="0" w:color="auto"/>
                    <w:left w:val="none" w:sz="0" w:space="0" w:color="auto"/>
                    <w:bottom w:val="none" w:sz="0" w:space="0" w:color="auto"/>
                    <w:right w:val="none" w:sz="0" w:space="0" w:color="auto"/>
                  </w:divBdr>
                </w:div>
                <w:div w:id="1041323564">
                  <w:marLeft w:val="0"/>
                  <w:marRight w:val="0"/>
                  <w:marTop w:val="0"/>
                  <w:marBottom w:val="0"/>
                  <w:divBdr>
                    <w:top w:val="none" w:sz="0" w:space="0" w:color="auto"/>
                    <w:left w:val="none" w:sz="0" w:space="0" w:color="auto"/>
                    <w:bottom w:val="none" w:sz="0" w:space="0" w:color="auto"/>
                    <w:right w:val="none" w:sz="0" w:space="0" w:color="auto"/>
                  </w:divBdr>
                </w:div>
                <w:div w:id="2128355390">
                  <w:marLeft w:val="0"/>
                  <w:marRight w:val="0"/>
                  <w:marTop w:val="0"/>
                  <w:marBottom w:val="0"/>
                  <w:divBdr>
                    <w:top w:val="none" w:sz="0" w:space="0" w:color="auto"/>
                    <w:left w:val="none" w:sz="0" w:space="0" w:color="auto"/>
                    <w:bottom w:val="none" w:sz="0" w:space="0" w:color="auto"/>
                    <w:right w:val="none" w:sz="0" w:space="0" w:color="auto"/>
                  </w:divBdr>
                </w:div>
                <w:div w:id="1908877597">
                  <w:marLeft w:val="0"/>
                  <w:marRight w:val="0"/>
                  <w:marTop w:val="0"/>
                  <w:marBottom w:val="0"/>
                  <w:divBdr>
                    <w:top w:val="none" w:sz="0" w:space="0" w:color="auto"/>
                    <w:left w:val="none" w:sz="0" w:space="0" w:color="auto"/>
                    <w:bottom w:val="none" w:sz="0" w:space="0" w:color="auto"/>
                    <w:right w:val="none" w:sz="0" w:space="0" w:color="auto"/>
                  </w:divBdr>
                </w:div>
                <w:div w:id="1391537846">
                  <w:marLeft w:val="0"/>
                  <w:marRight w:val="0"/>
                  <w:marTop w:val="0"/>
                  <w:marBottom w:val="0"/>
                  <w:divBdr>
                    <w:top w:val="none" w:sz="0" w:space="0" w:color="auto"/>
                    <w:left w:val="none" w:sz="0" w:space="0" w:color="auto"/>
                    <w:bottom w:val="none" w:sz="0" w:space="0" w:color="auto"/>
                    <w:right w:val="none" w:sz="0" w:space="0" w:color="auto"/>
                  </w:divBdr>
                </w:div>
                <w:div w:id="29310535">
                  <w:marLeft w:val="0"/>
                  <w:marRight w:val="0"/>
                  <w:marTop w:val="0"/>
                  <w:marBottom w:val="0"/>
                  <w:divBdr>
                    <w:top w:val="none" w:sz="0" w:space="0" w:color="auto"/>
                    <w:left w:val="none" w:sz="0" w:space="0" w:color="auto"/>
                    <w:bottom w:val="none" w:sz="0" w:space="0" w:color="auto"/>
                    <w:right w:val="none" w:sz="0" w:space="0" w:color="auto"/>
                  </w:divBdr>
                </w:div>
                <w:div w:id="977221277">
                  <w:marLeft w:val="0"/>
                  <w:marRight w:val="0"/>
                  <w:marTop w:val="0"/>
                  <w:marBottom w:val="0"/>
                  <w:divBdr>
                    <w:top w:val="none" w:sz="0" w:space="0" w:color="auto"/>
                    <w:left w:val="none" w:sz="0" w:space="0" w:color="auto"/>
                    <w:bottom w:val="none" w:sz="0" w:space="0" w:color="auto"/>
                    <w:right w:val="none" w:sz="0" w:space="0" w:color="auto"/>
                  </w:divBdr>
                </w:div>
                <w:div w:id="732701640">
                  <w:marLeft w:val="0"/>
                  <w:marRight w:val="0"/>
                  <w:marTop w:val="0"/>
                  <w:marBottom w:val="0"/>
                  <w:divBdr>
                    <w:top w:val="none" w:sz="0" w:space="0" w:color="auto"/>
                    <w:left w:val="none" w:sz="0" w:space="0" w:color="auto"/>
                    <w:bottom w:val="none" w:sz="0" w:space="0" w:color="auto"/>
                    <w:right w:val="none" w:sz="0" w:space="0" w:color="auto"/>
                  </w:divBdr>
                </w:div>
                <w:div w:id="1384402389">
                  <w:marLeft w:val="0"/>
                  <w:marRight w:val="0"/>
                  <w:marTop w:val="0"/>
                  <w:marBottom w:val="0"/>
                  <w:divBdr>
                    <w:top w:val="none" w:sz="0" w:space="0" w:color="auto"/>
                    <w:left w:val="none" w:sz="0" w:space="0" w:color="auto"/>
                    <w:bottom w:val="none" w:sz="0" w:space="0" w:color="auto"/>
                    <w:right w:val="none" w:sz="0" w:space="0" w:color="auto"/>
                  </w:divBdr>
                </w:div>
                <w:div w:id="1974560479">
                  <w:marLeft w:val="0"/>
                  <w:marRight w:val="0"/>
                  <w:marTop w:val="0"/>
                  <w:marBottom w:val="0"/>
                  <w:divBdr>
                    <w:top w:val="none" w:sz="0" w:space="0" w:color="auto"/>
                    <w:left w:val="none" w:sz="0" w:space="0" w:color="auto"/>
                    <w:bottom w:val="none" w:sz="0" w:space="0" w:color="auto"/>
                    <w:right w:val="none" w:sz="0" w:space="0" w:color="auto"/>
                  </w:divBdr>
                </w:div>
                <w:div w:id="376125418">
                  <w:marLeft w:val="0"/>
                  <w:marRight w:val="0"/>
                  <w:marTop w:val="0"/>
                  <w:marBottom w:val="0"/>
                  <w:divBdr>
                    <w:top w:val="none" w:sz="0" w:space="0" w:color="auto"/>
                    <w:left w:val="none" w:sz="0" w:space="0" w:color="auto"/>
                    <w:bottom w:val="none" w:sz="0" w:space="0" w:color="auto"/>
                    <w:right w:val="none" w:sz="0" w:space="0" w:color="auto"/>
                  </w:divBdr>
                </w:div>
                <w:div w:id="718479542">
                  <w:marLeft w:val="0"/>
                  <w:marRight w:val="0"/>
                  <w:marTop w:val="0"/>
                  <w:marBottom w:val="0"/>
                  <w:divBdr>
                    <w:top w:val="none" w:sz="0" w:space="0" w:color="auto"/>
                    <w:left w:val="none" w:sz="0" w:space="0" w:color="auto"/>
                    <w:bottom w:val="none" w:sz="0" w:space="0" w:color="auto"/>
                    <w:right w:val="none" w:sz="0" w:space="0" w:color="auto"/>
                  </w:divBdr>
                </w:div>
                <w:div w:id="76447032">
                  <w:marLeft w:val="0"/>
                  <w:marRight w:val="0"/>
                  <w:marTop w:val="0"/>
                  <w:marBottom w:val="0"/>
                  <w:divBdr>
                    <w:top w:val="none" w:sz="0" w:space="0" w:color="auto"/>
                    <w:left w:val="none" w:sz="0" w:space="0" w:color="auto"/>
                    <w:bottom w:val="none" w:sz="0" w:space="0" w:color="auto"/>
                    <w:right w:val="none" w:sz="0" w:space="0" w:color="auto"/>
                  </w:divBdr>
                </w:div>
                <w:div w:id="1873104532">
                  <w:marLeft w:val="0"/>
                  <w:marRight w:val="0"/>
                  <w:marTop w:val="0"/>
                  <w:marBottom w:val="0"/>
                  <w:divBdr>
                    <w:top w:val="none" w:sz="0" w:space="0" w:color="auto"/>
                    <w:left w:val="none" w:sz="0" w:space="0" w:color="auto"/>
                    <w:bottom w:val="none" w:sz="0" w:space="0" w:color="auto"/>
                    <w:right w:val="none" w:sz="0" w:space="0" w:color="auto"/>
                  </w:divBdr>
                </w:div>
                <w:div w:id="471867443">
                  <w:marLeft w:val="0"/>
                  <w:marRight w:val="0"/>
                  <w:marTop w:val="0"/>
                  <w:marBottom w:val="0"/>
                  <w:divBdr>
                    <w:top w:val="none" w:sz="0" w:space="0" w:color="auto"/>
                    <w:left w:val="none" w:sz="0" w:space="0" w:color="auto"/>
                    <w:bottom w:val="none" w:sz="0" w:space="0" w:color="auto"/>
                    <w:right w:val="none" w:sz="0" w:space="0" w:color="auto"/>
                  </w:divBdr>
                </w:div>
                <w:div w:id="1420248498">
                  <w:marLeft w:val="0"/>
                  <w:marRight w:val="0"/>
                  <w:marTop w:val="0"/>
                  <w:marBottom w:val="0"/>
                  <w:divBdr>
                    <w:top w:val="none" w:sz="0" w:space="0" w:color="auto"/>
                    <w:left w:val="none" w:sz="0" w:space="0" w:color="auto"/>
                    <w:bottom w:val="none" w:sz="0" w:space="0" w:color="auto"/>
                    <w:right w:val="none" w:sz="0" w:space="0" w:color="auto"/>
                  </w:divBdr>
                </w:div>
                <w:div w:id="1509639222">
                  <w:marLeft w:val="0"/>
                  <w:marRight w:val="0"/>
                  <w:marTop w:val="0"/>
                  <w:marBottom w:val="0"/>
                  <w:divBdr>
                    <w:top w:val="none" w:sz="0" w:space="0" w:color="auto"/>
                    <w:left w:val="none" w:sz="0" w:space="0" w:color="auto"/>
                    <w:bottom w:val="none" w:sz="0" w:space="0" w:color="auto"/>
                    <w:right w:val="none" w:sz="0" w:space="0" w:color="auto"/>
                  </w:divBdr>
                </w:div>
                <w:div w:id="1668947066">
                  <w:marLeft w:val="0"/>
                  <w:marRight w:val="0"/>
                  <w:marTop w:val="0"/>
                  <w:marBottom w:val="0"/>
                  <w:divBdr>
                    <w:top w:val="none" w:sz="0" w:space="0" w:color="auto"/>
                    <w:left w:val="none" w:sz="0" w:space="0" w:color="auto"/>
                    <w:bottom w:val="none" w:sz="0" w:space="0" w:color="auto"/>
                    <w:right w:val="none" w:sz="0" w:space="0" w:color="auto"/>
                  </w:divBdr>
                </w:div>
                <w:div w:id="2100833509">
                  <w:marLeft w:val="0"/>
                  <w:marRight w:val="0"/>
                  <w:marTop w:val="0"/>
                  <w:marBottom w:val="0"/>
                  <w:divBdr>
                    <w:top w:val="none" w:sz="0" w:space="0" w:color="auto"/>
                    <w:left w:val="none" w:sz="0" w:space="0" w:color="auto"/>
                    <w:bottom w:val="none" w:sz="0" w:space="0" w:color="auto"/>
                    <w:right w:val="none" w:sz="0" w:space="0" w:color="auto"/>
                  </w:divBdr>
                </w:div>
                <w:div w:id="1575893644">
                  <w:marLeft w:val="0"/>
                  <w:marRight w:val="0"/>
                  <w:marTop w:val="0"/>
                  <w:marBottom w:val="0"/>
                  <w:divBdr>
                    <w:top w:val="none" w:sz="0" w:space="0" w:color="auto"/>
                    <w:left w:val="none" w:sz="0" w:space="0" w:color="auto"/>
                    <w:bottom w:val="none" w:sz="0" w:space="0" w:color="auto"/>
                    <w:right w:val="none" w:sz="0" w:space="0" w:color="auto"/>
                  </w:divBdr>
                </w:div>
                <w:div w:id="353842604">
                  <w:marLeft w:val="0"/>
                  <w:marRight w:val="0"/>
                  <w:marTop w:val="0"/>
                  <w:marBottom w:val="0"/>
                  <w:divBdr>
                    <w:top w:val="none" w:sz="0" w:space="0" w:color="auto"/>
                    <w:left w:val="none" w:sz="0" w:space="0" w:color="auto"/>
                    <w:bottom w:val="none" w:sz="0" w:space="0" w:color="auto"/>
                    <w:right w:val="none" w:sz="0" w:space="0" w:color="auto"/>
                  </w:divBdr>
                </w:div>
                <w:div w:id="663971523">
                  <w:marLeft w:val="0"/>
                  <w:marRight w:val="0"/>
                  <w:marTop w:val="0"/>
                  <w:marBottom w:val="0"/>
                  <w:divBdr>
                    <w:top w:val="none" w:sz="0" w:space="0" w:color="auto"/>
                    <w:left w:val="none" w:sz="0" w:space="0" w:color="auto"/>
                    <w:bottom w:val="none" w:sz="0" w:space="0" w:color="auto"/>
                    <w:right w:val="none" w:sz="0" w:space="0" w:color="auto"/>
                  </w:divBdr>
                </w:div>
                <w:div w:id="2086486016">
                  <w:marLeft w:val="0"/>
                  <w:marRight w:val="0"/>
                  <w:marTop w:val="0"/>
                  <w:marBottom w:val="0"/>
                  <w:divBdr>
                    <w:top w:val="none" w:sz="0" w:space="0" w:color="auto"/>
                    <w:left w:val="none" w:sz="0" w:space="0" w:color="auto"/>
                    <w:bottom w:val="none" w:sz="0" w:space="0" w:color="auto"/>
                    <w:right w:val="none" w:sz="0" w:space="0" w:color="auto"/>
                  </w:divBdr>
                </w:div>
                <w:div w:id="1650204636">
                  <w:marLeft w:val="0"/>
                  <w:marRight w:val="0"/>
                  <w:marTop w:val="0"/>
                  <w:marBottom w:val="0"/>
                  <w:divBdr>
                    <w:top w:val="none" w:sz="0" w:space="0" w:color="auto"/>
                    <w:left w:val="none" w:sz="0" w:space="0" w:color="auto"/>
                    <w:bottom w:val="none" w:sz="0" w:space="0" w:color="auto"/>
                    <w:right w:val="none" w:sz="0" w:space="0" w:color="auto"/>
                  </w:divBdr>
                </w:div>
                <w:div w:id="1457485936">
                  <w:marLeft w:val="0"/>
                  <w:marRight w:val="0"/>
                  <w:marTop w:val="0"/>
                  <w:marBottom w:val="0"/>
                  <w:divBdr>
                    <w:top w:val="none" w:sz="0" w:space="0" w:color="auto"/>
                    <w:left w:val="none" w:sz="0" w:space="0" w:color="auto"/>
                    <w:bottom w:val="none" w:sz="0" w:space="0" w:color="auto"/>
                    <w:right w:val="none" w:sz="0" w:space="0" w:color="auto"/>
                  </w:divBdr>
                </w:div>
                <w:div w:id="107089970">
                  <w:marLeft w:val="0"/>
                  <w:marRight w:val="0"/>
                  <w:marTop w:val="0"/>
                  <w:marBottom w:val="0"/>
                  <w:divBdr>
                    <w:top w:val="none" w:sz="0" w:space="0" w:color="auto"/>
                    <w:left w:val="none" w:sz="0" w:space="0" w:color="auto"/>
                    <w:bottom w:val="none" w:sz="0" w:space="0" w:color="auto"/>
                    <w:right w:val="none" w:sz="0" w:space="0" w:color="auto"/>
                  </w:divBdr>
                </w:div>
                <w:div w:id="1743719049">
                  <w:marLeft w:val="0"/>
                  <w:marRight w:val="0"/>
                  <w:marTop w:val="0"/>
                  <w:marBottom w:val="0"/>
                  <w:divBdr>
                    <w:top w:val="none" w:sz="0" w:space="0" w:color="auto"/>
                    <w:left w:val="none" w:sz="0" w:space="0" w:color="auto"/>
                    <w:bottom w:val="none" w:sz="0" w:space="0" w:color="auto"/>
                    <w:right w:val="none" w:sz="0" w:space="0" w:color="auto"/>
                  </w:divBdr>
                </w:div>
                <w:div w:id="697775616">
                  <w:marLeft w:val="0"/>
                  <w:marRight w:val="0"/>
                  <w:marTop w:val="0"/>
                  <w:marBottom w:val="0"/>
                  <w:divBdr>
                    <w:top w:val="none" w:sz="0" w:space="0" w:color="auto"/>
                    <w:left w:val="none" w:sz="0" w:space="0" w:color="auto"/>
                    <w:bottom w:val="none" w:sz="0" w:space="0" w:color="auto"/>
                    <w:right w:val="none" w:sz="0" w:space="0" w:color="auto"/>
                  </w:divBdr>
                </w:div>
                <w:div w:id="1087263337">
                  <w:marLeft w:val="0"/>
                  <w:marRight w:val="0"/>
                  <w:marTop w:val="0"/>
                  <w:marBottom w:val="0"/>
                  <w:divBdr>
                    <w:top w:val="none" w:sz="0" w:space="0" w:color="auto"/>
                    <w:left w:val="none" w:sz="0" w:space="0" w:color="auto"/>
                    <w:bottom w:val="none" w:sz="0" w:space="0" w:color="auto"/>
                    <w:right w:val="none" w:sz="0" w:space="0" w:color="auto"/>
                  </w:divBdr>
                </w:div>
                <w:div w:id="417794902">
                  <w:marLeft w:val="0"/>
                  <w:marRight w:val="0"/>
                  <w:marTop w:val="0"/>
                  <w:marBottom w:val="0"/>
                  <w:divBdr>
                    <w:top w:val="none" w:sz="0" w:space="0" w:color="auto"/>
                    <w:left w:val="none" w:sz="0" w:space="0" w:color="auto"/>
                    <w:bottom w:val="none" w:sz="0" w:space="0" w:color="auto"/>
                    <w:right w:val="none" w:sz="0" w:space="0" w:color="auto"/>
                  </w:divBdr>
                </w:div>
                <w:div w:id="1998804193">
                  <w:marLeft w:val="0"/>
                  <w:marRight w:val="0"/>
                  <w:marTop w:val="0"/>
                  <w:marBottom w:val="0"/>
                  <w:divBdr>
                    <w:top w:val="none" w:sz="0" w:space="0" w:color="auto"/>
                    <w:left w:val="none" w:sz="0" w:space="0" w:color="auto"/>
                    <w:bottom w:val="none" w:sz="0" w:space="0" w:color="auto"/>
                    <w:right w:val="none" w:sz="0" w:space="0" w:color="auto"/>
                  </w:divBdr>
                </w:div>
                <w:div w:id="1309286519">
                  <w:marLeft w:val="0"/>
                  <w:marRight w:val="0"/>
                  <w:marTop w:val="0"/>
                  <w:marBottom w:val="0"/>
                  <w:divBdr>
                    <w:top w:val="none" w:sz="0" w:space="0" w:color="auto"/>
                    <w:left w:val="none" w:sz="0" w:space="0" w:color="auto"/>
                    <w:bottom w:val="none" w:sz="0" w:space="0" w:color="auto"/>
                    <w:right w:val="none" w:sz="0" w:space="0" w:color="auto"/>
                  </w:divBdr>
                </w:div>
                <w:div w:id="397098422">
                  <w:marLeft w:val="0"/>
                  <w:marRight w:val="0"/>
                  <w:marTop w:val="0"/>
                  <w:marBottom w:val="0"/>
                  <w:divBdr>
                    <w:top w:val="none" w:sz="0" w:space="0" w:color="auto"/>
                    <w:left w:val="none" w:sz="0" w:space="0" w:color="auto"/>
                    <w:bottom w:val="none" w:sz="0" w:space="0" w:color="auto"/>
                    <w:right w:val="none" w:sz="0" w:space="0" w:color="auto"/>
                  </w:divBdr>
                </w:div>
                <w:div w:id="316571554">
                  <w:marLeft w:val="0"/>
                  <w:marRight w:val="0"/>
                  <w:marTop w:val="0"/>
                  <w:marBottom w:val="0"/>
                  <w:divBdr>
                    <w:top w:val="none" w:sz="0" w:space="0" w:color="auto"/>
                    <w:left w:val="none" w:sz="0" w:space="0" w:color="auto"/>
                    <w:bottom w:val="none" w:sz="0" w:space="0" w:color="auto"/>
                    <w:right w:val="none" w:sz="0" w:space="0" w:color="auto"/>
                  </w:divBdr>
                </w:div>
                <w:div w:id="619259523">
                  <w:marLeft w:val="0"/>
                  <w:marRight w:val="0"/>
                  <w:marTop w:val="0"/>
                  <w:marBottom w:val="0"/>
                  <w:divBdr>
                    <w:top w:val="none" w:sz="0" w:space="0" w:color="auto"/>
                    <w:left w:val="none" w:sz="0" w:space="0" w:color="auto"/>
                    <w:bottom w:val="none" w:sz="0" w:space="0" w:color="auto"/>
                    <w:right w:val="none" w:sz="0" w:space="0" w:color="auto"/>
                  </w:divBdr>
                </w:div>
                <w:div w:id="166217486">
                  <w:marLeft w:val="0"/>
                  <w:marRight w:val="0"/>
                  <w:marTop w:val="0"/>
                  <w:marBottom w:val="0"/>
                  <w:divBdr>
                    <w:top w:val="none" w:sz="0" w:space="0" w:color="auto"/>
                    <w:left w:val="none" w:sz="0" w:space="0" w:color="auto"/>
                    <w:bottom w:val="none" w:sz="0" w:space="0" w:color="auto"/>
                    <w:right w:val="none" w:sz="0" w:space="0" w:color="auto"/>
                  </w:divBdr>
                </w:div>
                <w:div w:id="251162471">
                  <w:marLeft w:val="0"/>
                  <w:marRight w:val="0"/>
                  <w:marTop w:val="0"/>
                  <w:marBottom w:val="0"/>
                  <w:divBdr>
                    <w:top w:val="none" w:sz="0" w:space="0" w:color="auto"/>
                    <w:left w:val="none" w:sz="0" w:space="0" w:color="auto"/>
                    <w:bottom w:val="none" w:sz="0" w:space="0" w:color="auto"/>
                    <w:right w:val="none" w:sz="0" w:space="0" w:color="auto"/>
                  </w:divBdr>
                </w:div>
                <w:div w:id="2126271611">
                  <w:marLeft w:val="0"/>
                  <w:marRight w:val="0"/>
                  <w:marTop w:val="0"/>
                  <w:marBottom w:val="0"/>
                  <w:divBdr>
                    <w:top w:val="none" w:sz="0" w:space="0" w:color="auto"/>
                    <w:left w:val="none" w:sz="0" w:space="0" w:color="auto"/>
                    <w:bottom w:val="none" w:sz="0" w:space="0" w:color="auto"/>
                    <w:right w:val="none" w:sz="0" w:space="0" w:color="auto"/>
                  </w:divBdr>
                </w:div>
                <w:div w:id="366487770">
                  <w:marLeft w:val="0"/>
                  <w:marRight w:val="0"/>
                  <w:marTop w:val="0"/>
                  <w:marBottom w:val="0"/>
                  <w:divBdr>
                    <w:top w:val="none" w:sz="0" w:space="0" w:color="auto"/>
                    <w:left w:val="none" w:sz="0" w:space="0" w:color="auto"/>
                    <w:bottom w:val="none" w:sz="0" w:space="0" w:color="auto"/>
                    <w:right w:val="none" w:sz="0" w:space="0" w:color="auto"/>
                  </w:divBdr>
                </w:div>
                <w:div w:id="1185169222">
                  <w:marLeft w:val="0"/>
                  <w:marRight w:val="0"/>
                  <w:marTop w:val="0"/>
                  <w:marBottom w:val="0"/>
                  <w:divBdr>
                    <w:top w:val="none" w:sz="0" w:space="0" w:color="auto"/>
                    <w:left w:val="none" w:sz="0" w:space="0" w:color="auto"/>
                    <w:bottom w:val="none" w:sz="0" w:space="0" w:color="auto"/>
                    <w:right w:val="none" w:sz="0" w:space="0" w:color="auto"/>
                  </w:divBdr>
                </w:div>
                <w:div w:id="128208946">
                  <w:marLeft w:val="0"/>
                  <w:marRight w:val="0"/>
                  <w:marTop w:val="0"/>
                  <w:marBottom w:val="0"/>
                  <w:divBdr>
                    <w:top w:val="none" w:sz="0" w:space="0" w:color="auto"/>
                    <w:left w:val="none" w:sz="0" w:space="0" w:color="auto"/>
                    <w:bottom w:val="none" w:sz="0" w:space="0" w:color="auto"/>
                    <w:right w:val="none" w:sz="0" w:space="0" w:color="auto"/>
                  </w:divBdr>
                </w:div>
                <w:div w:id="739207941">
                  <w:marLeft w:val="0"/>
                  <w:marRight w:val="0"/>
                  <w:marTop w:val="0"/>
                  <w:marBottom w:val="0"/>
                  <w:divBdr>
                    <w:top w:val="none" w:sz="0" w:space="0" w:color="auto"/>
                    <w:left w:val="none" w:sz="0" w:space="0" w:color="auto"/>
                    <w:bottom w:val="none" w:sz="0" w:space="0" w:color="auto"/>
                    <w:right w:val="none" w:sz="0" w:space="0" w:color="auto"/>
                  </w:divBdr>
                </w:div>
                <w:div w:id="1237936631">
                  <w:marLeft w:val="0"/>
                  <w:marRight w:val="0"/>
                  <w:marTop w:val="0"/>
                  <w:marBottom w:val="0"/>
                  <w:divBdr>
                    <w:top w:val="none" w:sz="0" w:space="0" w:color="auto"/>
                    <w:left w:val="none" w:sz="0" w:space="0" w:color="auto"/>
                    <w:bottom w:val="none" w:sz="0" w:space="0" w:color="auto"/>
                    <w:right w:val="none" w:sz="0" w:space="0" w:color="auto"/>
                  </w:divBdr>
                </w:div>
                <w:div w:id="1299535609">
                  <w:marLeft w:val="0"/>
                  <w:marRight w:val="0"/>
                  <w:marTop w:val="0"/>
                  <w:marBottom w:val="0"/>
                  <w:divBdr>
                    <w:top w:val="none" w:sz="0" w:space="0" w:color="auto"/>
                    <w:left w:val="none" w:sz="0" w:space="0" w:color="auto"/>
                    <w:bottom w:val="none" w:sz="0" w:space="0" w:color="auto"/>
                    <w:right w:val="none" w:sz="0" w:space="0" w:color="auto"/>
                  </w:divBdr>
                </w:div>
                <w:div w:id="580024624">
                  <w:marLeft w:val="0"/>
                  <w:marRight w:val="0"/>
                  <w:marTop w:val="0"/>
                  <w:marBottom w:val="0"/>
                  <w:divBdr>
                    <w:top w:val="none" w:sz="0" w:space="0" w:color="auto"/>
                    <w:left w:val="none" w:sz="0" w:space="0" w:color="auto"/>
                    <w:bottom w:val="none" w:sz="0" w:space="0" w:color="auto"/>
                    <w:right w:val="none" w:sz="0" w:space="0" w:color="auto"/>
                  </w:divBdr>
                </w:div>
                <w:div w:id="1276596831">
                  <w:marLeft w:val="0"/>
                  <w:marRight w:val="0"/>
                  <w:marTop w:val="0"/>
                  <w:marBottom w:val="0"/>
                  <w:divBdr>
                    <w:top w:val="none" w:sz="0" w:space="0" w:color="auto"/>
                    <w:left w:val="none" w:sz="0" w:space="0" w:color="auto"/>
                    <w:bottom w:val="none" w:sz="0" w:space="0" w:color="auto"/>
                    <w:right w:val="none" w:sz="0" w:space="0" w:color="auto"/>
                  </w:divBdr>
                </w:div>
                <w:div w:id="591087414">
                  <w:marLeft w:val="0"/>
                  <w:marRight w:val="0"/>
                  <w:marTop w:val="0"/>
                  <w:marBottom w:val="0"/>
                  <w:divBdr>
                    <w:top w:val="none" w:sz="0" w:space="0" w:color="auto"/>
                    <w:left w:val="none" w:sz="0" w:space="0" w:color="auto"/>
                    <w:bottom w:val="none" w:sz="0" w:space="0" w:color="auto"/>
                    <w:right w:val="none" w:sz="0" w:space="0" w:color="auto"/>
                  </w:divBdr>
                </w:div>
                <w:div w:id="1883394364">
                  <w:marLeft w:val="0"/>
                  <w:marRight w:val="0"/>
                  <w:marTop w:val="0"/>
                  <w:marBottom w:val="0"/>
                  <w:divBdr>
                    <w:top w:val="none" w:sz="0" w:space="0" w:color="auto"/>
                    <w:left w:val="none" w:sz="0" w:space="0" w:color="auto"/>
                    <w:bottom w:val="none" w:sz="0" w:space="0" w:color="auto"/>
                    <w:right w:val="none" w:sz="0" w:space="0" w:color="auto"/>
                  </w:divBdr>
                </w:div>
                <w:div w:id="446119124">
                  <w:marLeft w:val="0"/>
                  <w:marRight w:val="0"/>
                  <w:marTop w:val="0"/>
                  <w:marBottom w:val="0"/>
                  <w:divBdr>
                    <w:top w:val="none" w:sz="0" w:space="0" w:color="auto"/>
                    <w:left w:val="none" w:sz="0" w:space="0" w:color="auto"/>
                    <w:bottom w:val="none" w:sz="0" w:space="0" w:color="auto"/>
                    <w:right w:val="none" w:sz="0" w:space="0" w:color="auto"/>
                  </w:divBdr>
                </w:div>
                <w:div w:id="518197302">
                  <w:marLeft w:val="0"/>
                  <w:marRight w:val="0"/>
                  <w:marTop w:val="0"/>
                  <w:marBottom w:val="0"/>
                  <w:divBdr>
                    <w:top w:val="none" w:sz="0" w:space="0" w:color="auto"/>
                    <w:left w:val="none" w:sz="0" w:space="0" w:color="auto"/>
                    <w:bottom w:val="none" w:sz="0" w:space="0" w:color="auto"/>
                    <w:right w:val="none" w:sz="0" w:space="0" w:color="auto"/>
                  </w:divBdr>
                </w:div>
                <w:div w:id="1638684172">
                  <w:marLeft w:val="0"/>
                  <w:marRight w:val="0"/>
                  <w:marTop w:val="0"/>
                  <w:marBottom w:val="0"/>
                  <w:divBdr>
                    <w:top w:val="none" w:sz="0" w:space="0" w:color="auto"/>
                    <w:left w:val="none" w:sz="0" w:space="0" w:color="auto"/>
                    <w:bottom w:val="none" w:sz="0" w:space="0" w:color="auto"/>
                    <w:right w:val="none" w:sz="0" w:space="0" w:color="auto"/>
                  </w:divBdr>
                </w:div>
                <w:div w:id="529684301">
                  <w:marLeft w:val="0"/>
                  <w:marRight w:val="0"/>
                  <w:marTop w:val="0"/>
                  <w:marBottom w:val="0"/>
                  <w:divBdr>
                    <w:top w:val="none" w:sz="0" w:space="0" w:color="auto"/>
                    <w:left w:val="none" w:sz="0" w:space="0" w:color="auto"/>
                    <w:bottom w:val="none" w:sz="0" w:space="0" w:color="auto"/>
                    <w:right w:val="none" w:sz="0" w:space="0" w:color="auto"/>
                  </w:divBdr>
                </w:div>
                <w:div w:id="1001155571">
                  <w:marLeft w:val="0"/>
                  <w:marRight w:val="0"/>
                  <w:marTop w:val="0"/>
                  <w:marBottom w:val="0"/>
                  <w:divBdr>
                    <w:top w:val="none" w:sz="0" w:space="0" w:color="auto"/>
                    <w:left w:val="none" w:sz="0" w:space="0" w:color="auto"/>
                    <w:bottom w:val="none" w:sz="0" w:space="0" w:color="auto"/>
                    <w:right w:val="none" w:sz="0" w:space="0" w:color="auto"/>
                  </w:divBdr>
                </w:div>
                <w:div w:id="16112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548">
          <w:marLeft w:val="0"/>
          <w:marRight w:val="0"/>
          <w:marTop w:val="0"/>
          <w:marBottom w:val="0"/>
          <w:divBdr>
            <w:top w:val="none" w:sz="0" w:space="0" w:color="auto"/>
            <w:left w:val="none" w:sz="0" w:space="0" w:color="auto"/>
            <w:bottom w:val="none" w:sz="0" w:space="0" w:color="auto"/>
            <w:right w:val="none" w:sz="0" w:space="0" w:color="auto"/>
          </w:divBdr>
          <w:divsChild>
            <w:div w:id="1233347603">
              <w:marLeft w:val="0"/>
              <w:marRight w:val="0"/>
              <w:marTop w:val="0"/>
              <w:marBottom w:val="0"/>
              <w:divBdr>
                <w:top w:val="none" w:sz="0" w:space="0" w:color="auto"/>
                <w:left w:val="none" w:sz="0" w:space="0" w:color="auto"/>
                <w:bottom w:val="none" w:sz="0" w:space="0" w:color="auto"/>
                <w:right w:val="none" w:sz="0" w:space="0" w:color="auto"/>
              </w:divBdr>
              <w:divsChild>
                <w:div w:id="621377733">
                  <w:marLeft w:val="0"/>
                  <w:marRight w:val="0"/>
                  <w:marTop w:val="0"/>
                  <w:marBottom w:val="0"/>
                  <w:divBdr>
                    <w:top w:val="none" w:sz="0" w:space="0" w:color="auto"/>
                    <w:left w:val="none" w:sz="0" w:space="0" w:color="auto"/>
                    <w:bottom w:val="none" w:sz="0" w:space="0" w:color="auto"/>
                    <w:right w:val="none" w:sz="0" w:space="0" w:color="auto"/>
                  </w:divBdr>
                </w:div>
                <w:div w:id="1345324441">
                  <w:marLeft w:val="0"/>
                  <w:marRight w:val="0"/>
                  <w:marTop w:val="0"/>
                  <w:marBottom w:val="0"/>
                  <w:divBdr>
                    <w:top w:val="none" w:sz="0" w:space="0" w:color="auto"/>
                    <w:left w:val="none" w:sz="0" w:space="0" w:color="auto"/>
                    <w:bottom w:val="none" w:sz="0" w:space="0" w:color="auto"/>
                    <w:right w:val="none" w:sz="0" w:space="0" w:color="auto"/>
                  </w:divBdr>
                </w:div>
                <w:div w:id="1492525330">
                  <w:marLeft w:val="0"/>
                  <w:marRight w:val="0"/>
                  <w:marTop w:val="0"/>
                  <w:marBottom w:val="0"/>
                  <w:divBdr>
                    <w:top w:val="none" w:sz="0" w:space="0" w:color="auto"/>
                    <w:left w:val="none" w:sz="0" w:space="0" w:color="auto"/>
                    <w:bottom w:val="none" w:sz="0" w:space="0" w:color="auto"/>
                    <w:right w:val="none" w:sz="0" w:space="0" w:color="auto"/>
                  </w:divBdr>
                </w:div>
                <w:div w:id="1199974881">
                  <w:marLeft w:val="0"/>
                  <w:marRight w:val="0"/>
                  <w:marTop w:val="0"/>
                  <w:marBottom w:val="0"/>
                  <w:divBdr>
                    <w:top w:val="none" w:sz="0" w:space="0" w:color="auto"/>
                    <w:left w:val="none" w:sz="0" w:space="0" w:color="auto"/>
                    <w:bottom w:val="none" w:sz="0" w:space="0" w:color="auto"/>
                    <w:right w:val="none" w:sz="0" w:space="0" w:color="auto"/>
                  </w:divBdr>
                </w:div>
                <w:div w:id="789858752">
                  <w:marLeft w:val="0"/>
                  <w:marRight w:val="0"/>
                  <w:marTop w:val="0"/>
                  <w:marBottom w:val="0"/>
                  <w:divBdr>
                    <w:top w:val="none" w:sz="0" w:space="0" w:color="auto"/>
                    <w:left w:val="none" w:sz="0" w:space="0" w:color="auto"/>
                    <w:bottom w:val="none" w:sz="0" w:space="0" w:color="auto"/>
                    <w:right w:val="none" w:sz="0" w:space="0" w:color="auto"/>
                  </w:divBdr>
                </w:div>
                <w:div w:id="1983388399">
                  <w:marLeft w:val="0"/>
                  <w:marRight w:val="0"/>
                  <w:marTop w:val="0"/>
                  <w:marBottom w:val="0"/>
                  <w:divBdr>
                    <w:top w:val="none" w:sz="0" w:space="0" w:color="auto"/>
                    <w:left w:val="none" w:sz="0" w:space="0" w:color="auto"/>
                    <w:bottom w:val="none" w:sz="0" w:space="0" w:color="auto"/>
                    <w:right w:val="none" w:sz="0" w:space="0" w:color="auto"/>
                  </w:divBdr>
                </w:div>
                <w:div w:id="1163592775">
                  <w:marLeft w:val="0"/>
                  <w:marRight w:val="0"/>
                  <w:marTop w:val="0"/>
                  <w:marBottom w:val="0"/>
                  <w:divBdr>
                    <w:top w:val="none" w:sz="0" w:space="0" w:color="auto"/>
                    <w:left w:val="none" w:sz="0" w:space="0" w:color="auto"/>
                    <w:bottom w:val="none" w:sz="0" w:space="0" w:color="auto"/>
                    <w:right w:val="none" w:sz="0" w:space="0" w:color="auto"/>
                  </w:divBdr>
                </w:div>
                <w:div w:id="720054879">
                  <w:marLeft w:val="0"/>
                  <w:marRight w:val="0"/>
                  <w:marTop w:val="0"/>
                  <w:marBottom w:val="0"/>
                  <w:divBdr>
                    <w:top w:val="none" w:sz="0" w:space="0" w:color="auto"/>
                    <w:left w:val="none" w:sz="0" w:space="0" w:color="auto"/>
                    <w:bottom w:val="none" w:sz="0" w:space="0" w:color="auto"/>
                    <w:right w:val="none" w:sz="0" w:space="0" w:color="auto"/>
                  </w:divBdr>
                </w:div>
                <w:div w:id="377314912">
                  <w:marLeft w:val="0"/>
                  <w:marRight w:val="0"/>
                  <w:marTop w:val="0"/>
                  <w:marBottom w:val="0"/>
                  <w:divBdr>
                    <w:top w:val="none" w:sz="0" w:space="0" w:color="auto"/>
                    <w:left w:val="none" w:sz="0" w:space="0" w:color="auto"/>
                    <w:bottom w:val="none" w:sz="0" w:space="0" w:color="auto"/>
                    <w:right w:val="none" w:sz="0" w:space="0" w:color="auto"/>
                  </w:divBdr>
                </w:div>
                <w:div w:id="940645430">
                  <w:marLeft w:val="0"/>
                  <w:marRight w:val="0"/>
                  <w:marTop w:val="0"/>
                  <w:marBottom w:val="0"/>
                  <w:divBdr>
                    <w:top w:val="none" w:sz="0" w:space="0" w:color="auto"/>
                    <w:left w:val="none" w:sz="0" w:space="0" w:color="auto"/>
                    <w:bottom w:val="none" w:sz="0" w:space="0" w:color="auto"/>
                    <w:right w:val="none" w:sz="0" w:space="0" w:color="auto"/>
                  </w:divBdr>
                </w:div>
                <w:div w:id="1476875609">
                  <w:marLeft w:val="0"/>
                  <w:marRight w:val="0"/>
                  <w:marTop w:val="0"/>
                  <w:marBottom w:val="0"/>
                  <w:divBdr>
                    <w:top w:val="none" w:sz="0" w:space="0" w:color="auto"/>
                    <w:left w:val="none" w:sz="0" w:space="0" w:color="auto"/>
                    <w:bottom w:val="none" w:sz="0" w:space="0" w:color="auto"/>
                    <w:right w:val="none" w:sz="0" w:space="0" w:color="auto"/>
                  </w:divBdr>
                </w:div>
                <w:div w:id="1309020479">
                  <w:marLeft w:val="0"/>
                  <w:marRight w:val="0"/>
                  <w:marTop w:val="0"/>
                  <w:marBottom w:val="0"/>
                  <w:divBdr>
                    <w:top w:val="none" w:sz="0" w:space="0" w:color="auto"/>
                    <w:left w:val="none" w:sz="0" w:space="0" w:color="auto"/>
                    <w:bottom w:val="none" w:sz="0" w:space="0" w:color="auto"/>
                    <w:right w:val="none" w:sz="0" w:space="0" w:color="auto"/>
                  </w:divBdr>
                </w:div>
                <w:div w:id="609973718">
                  <w:marLeft w:val="0"/>
                  <w:marRight w:val="0"/>
                  <w:marTop w:val="0"/>
                  <w:marBottom w:val="0"/>
                  <w:divBdr>
                    <w:top w:val="none" w:sz="0" w:space="0" w:color="auto"/>
                    <w:left w:val="none" w:sz="0" w:space="0" w:color="auto"/>
                    <w:bottom w:val="none" w:sz="0" w:space="0" w:color="auto"/>
                    <w:right w:val="none" w:sz="0" w:space="0" w:color="auto"/>
                  </w:divBdr>
                </w:div>
                <w:div w:id="945114885">
                  <w:marLeft w:val="0"/>
                  <w:marRight w:val="0"/>
                  <w:marTop w:val="0"/>
                  <w:marBottom w:val="0"/>
                  <w:divBdr>
                    <w:top w:val="none" w:sz="0" w:space="0" w:color="auto"/>
                    <w:left w:val="none" w:sz="0" w:space="0" w:color="auto"/>
                    <w:bottom w:val="none" w:sz="0" w:space="0" w:color="auto"/>
                    <w:right w:val="none" w:sz="0" w:space="0" w:color="auto"/>
                  </w:divBdr>
                </w:div>
                <w:div w:id="380054044">
                  <w:marLeft w:val="0"/>
                  <w:marRight w:val="0"/>
                  <w:marTop w:val="0"/>
                  <w:marBottom w:val="0"/>
                  <w:divBdr>
                    <w:top w:val="none" w:sz="0" w:space="0" w:color="auto"/>
                    <w:left w:val="none" w:sz="0" w:space="0" w:color="auto"/>
                    <w:bottom w:val="none" w:sz="0" w:space="0" w:color="auto"/>
                    <w:right w:val="none" w:sz="0" w:space="0" w:color="auto"/>
                  </w:divBdr>
                </w:div>
                <w:div w:id="420687913">
                  <w:marLeft w:val="0"/>
                  <w:marRight w:val="0"/>
                  <w:marTop w:val="0"/>
                  <w:marBottom w:val="0"/>
                  <w:divBdr>
                    <w:top w:val="none" w:sz="0" w:space="0" w:color="auto"/>
                    <w:left w:val="none" w:sz="0" w:space="0" w:color="auto"/>
                    <w:bottom w:val="none" w:sz="0" w:space="0" w:color="auto"/>
                    <w:right w:val="none" w:sz="0" w:space="0" w:color="auto"/>
                  </w:divBdr>
                </w:div>
                <w:div w:id="491483173">
                  <w:marLeft w:val="0"/>
                  <w:marRight w:val="0"/>
                  <w:marTop w:val="0"/>
                  <w:marBottom w:val="0"/>
                  <w:divBdr>
                    <w:top w:val="none" w:sz="0" w:space="0" w:color="auto"/>
                    <w:left w:val="none" w:sz="0" w:space="0" w:color="auto"/>
                    <w:bottom w:val="none" w:sz="0" w:space="0" w:color="auto"/>
                    <w:right w:val="none" w:sz="0" w:space="0" w:color="auto"/>
                  </w:divBdr>
                </w:div>
                <w:div w:id="1417282060">
                  <w:marLeft w:val="0"/>
                  <w:marRight w:val="0"/>
                  <w:marTop w:val="0"/>
                  <w:marBottom w:val="0"/>
                  <w:divBdr>
                    <w:top w:val="none" w:sz="0" w:space="0" w:color="auto"/>
                    <w:left w:val="none" w:sz="0" w:space="0" w:color="auto"/>
                    <w:bottom w:val="none" w:sz="0" w:space="0" w:color="auto"/>
                    <w:right w:val="none" w:sz="0" w:space="0" w:color="auto"/>
                  </w:divBdr>
                </w:div>
                <w:div w:id="14352385">
                  <w:marLeft w:val="0"/>
                  <w:marRight w:val="0"/>
                  <w:marTop w:val="0"/>
                  <w:marBottom w:val="0"/>
                  <w:divBdr>
                    <w:top w:val="none" w:sz="0" w:space="0" w:color="auto"/>
                    <w:left w:val="none" w:sz="0" w:space="0" w:color="auto"/>
                    <w:bottom w:val="none" w:sz="0" w:space="0" w:color="auto"/>
                    <w:right w:val="none" w:sz="0" w:space="0" w:color="auto"/>
                  </w:divBdr>
                </w:div>
                <w:div w:id="492721988">
                  <w:marLeft w:val="0"/>
                  <w:marRight w:val="0"/>
                  <w:marTop w:val="0"/>
                  <w:marBottom w:val="0"/>
                  <w:divBdr>
                    <w:top w:val="none" w:sz="0" w:space="0" w:color="auto"/>
                    <w:left w:val="none" w:sz="0" w:space="0" w:color="auto"/>
                    <w:bottom w:val="none" w:sz="0" w:space="0" w:color="auto"/>
                    <w:right w:val="none" w:sz="0" w:space="0" w:color="auto"/>
                  </w:divBdr>
                </w:div>
                <w:div w:id="1605066348">
                  <w:marLeft w:val="0"/>
                  <w:marRight w:val="0"/>
                  <w:marTop w:val="0"/>
                  <w:marBottom w:val="0"/>
                  <w:divBdr>
                    <w:top w:val="none" w:sz="0" w:space="0" w:color="auto"/>
                    <w:left w:val="none" w:sz="0" w:space="0" w:color="auto"/>
                    <w:bottom w:val="none" w:sz="0" w:space="0" w:color="auto"/>
                    <w:right w:val="none" w:sz="0" w:space="0" w:color="auto"/>
                  </w:divBdr>
                </w:div>
                <w:div w:id="1919241269">
                  <w:marLeft w:val="0"/>
                  <w:marRight w:val="0"/>
                  <w:marTop w:val="0"/>
                  <w:marBottom w:val="0"/>
                  <w:divBdr>
                    <w:top w:val="none" w:sz="0" w:space="0" w:color="auto"/>
                    <w:left w:val="none" w:sz="0" w:space="0" w:color="auto"/>
                    <w:bottom w:val="none" w:sz="0" w:space="0" w:color="auto"/>
                    <w:right w:val="none" w:sz="0" w:space="0" w:color="auto"/>
                  </w:divBdr>
                </w:div>
                <w:div w:id="553779843">
                  <w:marLeft w:val="0"/>
                  <w:marRight w:val="0"/>
                  <w:marTop w:val="0"/>
                  <w:marBottom w:val="0"/>
                  <w:divBdr>
                    <w:top w:val="none" w:sz="0" w:space="0" w:color="auto"/>
                    <w:left w:val="none" w:sz="0" w:space="0" w:color="auto"/>
                    <w:bottom w:val="none" w:sz="0" w:space="0" w:color="auto"/>
                    <w:right w:val="none" w:sz="0" w:space="0" w:color="auto"/>
                  </w:divBdr>
                </w:div>
                <w:div w:id="1948154461">
                  <w:marLeft w:val="0"/>
                  <w:marRight w:val="0"/>
                  <w:marTop w:val="0"/>
                  <w:marBottom w:val="0"/>
                  <w:divBdr>
                    <w:top w:val="none" w:sz="0" w:space="0" w:color="auto"/>
                    <w:left w:val="none" w:sz="0" w:space="0" w:color="auto"/>
                    <w:bottom w:val="none" w:sz="0" w:space="0" w:color="auto"/>
                    <w:right w:val="none" w:sz="0" w:space="0" w:color="auto"/>
                  </w:divBdr>
                </w:div>
                <w:div w:id="1646157312">
                  <w:marLeft w:val="0"/>
                  <w:marRight w:val="0"/>
                  <w:marTop w:val="0"/>
                  <w:marBottom w:val="0"/>
                  <w:divBdr>
                    <w:top w:val="none" w:sz="0" w:space="0" w:color="auto"/>
                    <w:left w:val="none" w:sz="0" w:space="0" w:color="auto"/>
                    <w:bottom w:val="none" w:sz="0" w:space="0" w:color="auto"/>
                    <w:right w:val="none" w:sz="0" w:space="0" w:color="auto"/>
                  </w:divBdr>
                </w:div>
                <w:div w:id="1043478583">
                  <w:marLeft w:val="0"/>
                  <w:marRight w:val="0"/>
                  <w:marTop w:val="0"/>
                  <w:marBottom w:val="0"/>
                  <w:divBdr>
                    <w:top w:val="none" w:sz="0" w:space="0" w:color="auto"/>
                    <w:left w:val="none" w:sz="0" w:space="0" w:color="auto"/>
                    <w:bottom w:val="none" w:sz="0" w:space="0" w:color="auto"/>
                    <w:right w:val="none" w:sz="0" w:space="0" w:color="auto"/>
                  </w:divBdr>
                </w:div>
                <w:div w:id="864831550">
                  <w:marLeft w:val="0"/>
                  <w:marRight w:val="0"/>
                  <w:marTop w:val="0"/>
                  <w:marBottom w:val="0"/>
                  <w:divBdr>
                    <w:top w:val="none" w:sz="0" w:space="0" w:color="auto"/>
                    <w:left w:val="none" w:sz="0" w:space="0" w:color="auto"/>
                    <w:bottom w:val="none" w:sz="0" w:space="0" w:color="auto"/>
                    <w:right w:val="none" w:sz="0" w:space="0" w:color="auto"/>
                  </w:divBdr>
                </w:div>
                <w:div w:id="65150188">
                  <w:marLeft w:val="0"/>
                  <w:marRight w:val="0"/>
                  <w:marTop w:val="0"/>
                  <w:marBottom w:val="0"/>
                  <w:divBdr>
                    <w:top w:val="none" w:sz="0" w:space="0" w:color="auto"/>
                    <w:left w:val="none" w:sz="0" w:space="0" w:color="auto"/>
                    <w:bottom w:val="none" w:sz="0" w:space="0" w:color="auto"/>
                    <w:right w:val="none" w:sz="0" w:space="0" w:color="auto"/>
                  </w:divBdr>
                </w:div>
                <w:div w:id="364716626">
                  <w:marLeft w:val="0"/>
                  <w:marRight w:val="0"/>
                  <w:marTop w:val="0"/>
                  <w:marBottom w:val="0"/>
                  <w:divBdr>
                    <w:top w:val="none" w:sz="0" w:space="0" w:color="auto"/>
                    <w:left w:val="none" w:sz="0" w:space="0" w:color="auto"/>
                    <w:bottom w:val="none" w:sz="0" w:space="0" w:color="auto"/>
                    <w:right w:val="none" w:sz="0" w:space="0" w:color="auto"/>
                  </w:divBdr>
                </w:div>
                <w:div w:id="661466049">
                  <w:marLeft w:val="0"/>
                  <w:marRight w:val="0"/>
                  <w:marTop w:val="0"/>
                  <w:marBottom w:val="0"/>
                  <w:divBdr>
                    <w:top w:val="none" w:sz="0" w:space="0" w:color="auto"/>
                    <w:left w:val="none" w:sz="0" w:space="0" w:color="auto"/>
                    <w:bottom w:val="none" w:sz="0" w:space="0" w:color="auto"/>
                    <w:right w:val="none" w:sz="0" w:space="0" w:color="auto"/>
                  </w:divBdr>
                </w:div>
                <w:div w:id="240794957">
                  <w:marLeft w:val="0"/>
                  <w:marRight w:val="0"/>
                  <w:marTop w:val="0"/>
                  <w:marBottom w:val="0"/>
                  <w:divBdr>
                    <w:top w:val="none" w:sz="0" w:space="0" w:color="auto"/>
                    <w:left w:val="none" w:sz="0" w:space="0" w:color="auto"/>
                    <w:bottom w:val="none" w:sz="0" w:space="0" w:color="auto"/>
                    <w:right w:val="none" w:sz="0" w:space="0" w:color="auto"/>
                  </w:divBdr>
                </w:div>
                <w:div w:id="1441219577">
                  <w:marLeft w:val="0"/>
                  <w:marRight w:val="0"/>
                  <w:marTop w:val="0"/>
                  <w:marBottom w:val="0"/>
                  <w:divBdr>
                    <w:top w:val="none" w:sz="0" w:space="0" w:color="auto"/>
                    <w:left w:val="none" w:sz="0" w:space="0" w:color="auto"/>
                    <w:bottom w:val="none" w:sz="0" w:space="0" w:color="auto"/>
                    <w:right w:val="none" w:sz="0" w:space="0" w:color="auto"/>
                  </w:divBdr>
                </w:div>
                <w:div w:id="964891592">
                  <w:marLeft w:val="0"/>
                  <w:marRight w:val="0"/>
                  <w:marTop w:val="0"/>
                  <w:marBottom w:val="0"/>
                  <w:divBdr>
                    <w:top w:val="none" w:sz="0" w:space="0" w:color="auto"/>
                    <w:left w:val="none" w:sz="0" w:space="0" w:color="auto"/>
                    <w:bottom w:val="none" w:sz="0" w:space="0" w:color="auto"/>
                    <w:right w:val="none" w:sz="0" w:space="0" w:color="auto"/>
                  </w:divBdr>
                </w:div>
                <w:div w:id="1523933834">
                  <w:marLeft w:val="0"/>
                  <w:marRight w:val="0"/>
                  <w:marTop w:val="0"/>
                  <w:marBottom w:val="0"/>
                  <w:divBdr>
                    <w:top w:val="none" w:sz="0" w:space="0" w:color="auto"/>
                    <w:left w:val="none" w:sz="0" w:space="0" w:color="auto"/>
                    <w:bottom w:val="none" w:sz="0" w:space="0" w:color="auto"/>
                    <w:right w:val="none" w:sz="0" w:space="0" w:color="auto"/>
                  </w:divBdr>
                </w:div>
                <w:div w:id="2124180944">
                  <w:marLeft w:val="0"/>
                  <w:marRight w:val="0"/>
                  <w:marTop w:val="0"/>
                  <w:marBottom w:val="0"/>
                  <w:divBdr>
                    <w:top w:val="none" w:sz="0" w:space="0" w:color="auto"/>
                    <w:left w:val="none" w:sz="0" w:space="0" w:color="auto"/>
                    <w:bottom w:val="none" w:sz="0" w:space="0" w:color="auto"/>
                    <w:right w:val="none" w:sz="0" w:space="0" w:color="auto"/>
                  </w:divBdr>
                </w:div>
                <w:div w:id="1630547764">
                  <w:marLeft w:val="0"/>
                  <w:marRight w:val="0"/>
                  <w:marTop w:val="0"/>
                  <w:marBottom w:val="0"/>
                  <w:divBdr>
                    <w:top w:val="none" w:sz="0" w:space="0" w:color="auto"/>
                    <w:left w:val="none" w:sz="0" w:space="0" w:color="auto"/>
                    <w:bottom w:val="none" w:sz="0" w:space="0" w:color="auto"/>
                    <w:right w:val="none" w:sz="0" w:space="0" w:color="auto"/>
                  </w:divBdr>
                </w:div>
                <w:div w:id="1765302581">
                  <w:marLeft w:val="0"/>
                  <w:marRight w:val="0"/>
                  <w:marTop w:val="0"/>
                  <w:marBottom w:val="0"/>
                  <w:divBdr>
                    <w:top w:val="none" w:sz="0" w:space="0" w:color="auto"/>
                    <w:left w:val="none" w:sz="0" w:space="0" w:color="auto"/>
                    <w:bottom w:val="none" w:sz="0" w:space="0" w:color="auto"/>
                    <w:right w:val="none" w:sz="0" w:space="0" w:color="auto"/>
                  </w:divBdr>
                </w:div>
                <w:div w:id="1476293300">
                  <w:marLeft w:val="0"/>
                  <w:marRight w:val="0"/>
                  <w:marTop w:val="0"/>
                  <w:marBottom w:val="0"/>
                  <w:divBdr>
                    <w:top w:val="none" w:sz="0" w:space="0" w:color="auto"/>
                    <w:left w:val="none" w:sz="0" w:space="0" w:color="auto"/>
                    <w:bottom w:val="none" w:sz="0" w:space="0" w:color="auto"/>
                    <w:right w:val="none" w:sz="0" w:space="0" w:color="auto"/>
                  </w:divBdr>
                </w:div>
                <w:div w:id="2120491946">
                  <w:marLeft w:val="0"/>
                  <w:marRight w:val="0"/>
                  <w:marTop w:val="0"/>
                  <w:marBottom w:val="0"/>
                  <w:divBdr>
                    <w:top w:val="none" w:sz="0" w:space="0" w:color="auto"/>
                    <w:left w:val="none" w:sz="0" w:space="0" w:color="auto"/>
                    <w:bottom w:val="none" w:sz="0" w:space="0" w:color="auto"/>
                    <w:right w:val="none" w:sz="0" w:space="0" w:color="auto"/>
                  </w:divBdr>
                </w:div>
                <w:div w:id="1119688003">
                  <w:marLeft w:val="0"/>
                  <w:marRight w:val="0"/>
                  <w:marTop w:val="0"/>
                  <w:marBottom w:val="0"/>
                  <w:divBdr>
                    <w:top w:val="none" w:sz="0" w:space="0" w:color="auto"/>
                    <w:left w:val="none" w:sz="0" w:space="0" w:color="auto"/>
                    <w:bottom w:val="none" w:sz="0" w:space="0" w:color="auto"/>
                    <w:right w:val="none" w:sz="0" w:space="0" w:color="auto"/>
                  </w:divBdr>
                </w:div>
                <w:div w:id="1068072916">
                  <w:marLeft w:val="0"/>
                  <w:marRight w:val="0"/>
                  <w:marTop w:val="0"/>
                  <w:marBottom w:val="0"/>
                  <w:divBdr>
                    <w:top w:val="none" w:sz="0" w:space="0" w:color="auto"/>
                    <w:left w:val="none" w:sz="0" w:space="0" w:color="auto"/>
                    <w:bottom w:val="none" w:sz="0" w:space="0" w:color="auto"/>
                    <w:right w:val="none" w:sz="0" w:space="0" w:color="auto"/>
                  </w:divBdr>
                </w:div>
                <w:div w:id="480004379">
                  <w:marLeft w:val="0"/>
                  <w:marRight w:val="0"/>
                  <w:marTop w:val="0"/>
                  <w:marBottom w:val="0"/>
                  <w:divBdr>
                    <w:top w:val="none" w:sz="0" w:space="0" w:color="auto"/>
                    <w:left w:val="none" w:sz="0" w:space="0" w:color="auto"/>
                    <w:bottom w:val="none" w:sz="0" w:space="0" w:color="auto"/>
                    <w:right w:val="none" w:sz="0" w:space="0" w:color="auto"/>
                  </w:divBdr>
                </w:div>
                <w:div w:id="625046040">
                  <w:marLeft w:val="0"/>
                  <w:marRight w:val="0"/>
                  <w:marTop w:val="0"/>
                  <w:marBottom w:val="0"/>
                  <w:divBdr>
                    <w:top w:val="none" w:sz="0" w:space="0" w:color="auto"/>
                    <w:left w:val="none" w:sz="0" w:space="0" w:color="auto"/>
                    <w:bottom w:val="none" w:sz="0" w:space="0" w:color="auto"/>
                    <w:right w:val="none" w:sz="0" w:space="0" w:color="auto"/>
                  </w:divBdr>
                </w:div>
                <w:div w:id="870725861">
                  <w:marLeft w:val="0"/>
                  <w:marRight w:val="0"/>
                  <w:marTop w:val="0"/>
                  <w:marBottom w:val="0"/>
                  <w:divBdr>
                    <w:top w:val="none" w:sz="0" w:space="0" w:color="auto"/>
                    <w:left w:val="none" w:sz="0" w:space="0" w:color="auto"/>
                    <w:bottom w:val="none" w:sz="0" w:space="0" w:color="auto"/>
                    <w:right w:val="none" w:sz="0" w:space="0" w:color="auto"/>
                  </w:divBdr>
                </w:div>
                <w:div w:id="1348673892">
                  <w:marLeft w:val="0"/>
                  <w:marRight w:val="0"/>
                  <w:marTop w:val="0"/>
                  <w:marBottom w:val="0"/>
                  <w:divBdr>
                    <w:top w:val="none" w:sz="0" w:space="0" w:color="auto"/>
                    <w:left w:val="none" w:sz="0" w:space="0" w:color="auto"/>
                    <w:bottom w:val="none" w:sz="0" w:space="0" w:color="auto"/>
                    <w:right w:val="none" w:sz="0" w:space="0" w:color="auto"/>
                  </w:divBdr>
                </w:div>
                <w:div w:id="124280384">
                  <w:marLeft w:val="0"/>
                  <w:marRight w:val="0"/>
                  <w:marTop w:val="0"/>
                  <w:marBottom w:val="0"/>
                  <w:divBdr>
                    <w:top w:val="none" w:sz="0" w:space="0" w:color="auto"/>
                    <w:left w:val="none" w:sz="0" w:space="0" w:color="auto"/>
                    <w:bottom w:val="none" w:sz="0" w:space="0" w:color="auto"/>
                    <w:right w:val="none" w:sz="0" w:space="0" w:color="auto"/>
                  </w:divBdr>
                </w:div>
                <w:div w:id="1783725112">
                  <w:marLeft w:val="0"/>
                  <w:marRight w:val="0"/>
                  <w:marTop w:val="0"/>
                  <w:marBottom w:val="0"/>
                  <w:divBdr>
                    <w:top w:val="none" w:sz="0" w:space="0" w:color="auto"/>
                    <w:left w:val="none" w:sz="0" w:space="0" w:color="auto"/>
                    <w:bottom w:val="none" w:sz="0" w:space="0" w:color="auto"/>
                    <w:right w:val="none" w:sz="0" w:space="0" w:color="auto"/>
                  </w:divBdr>
                </w:div>
                <w:div w:id="679938905">
                  <w:marLeft w:val="0"/>
                  <w:marRight w:val="0"/>
                  <w:marTop w:val="0"/>
                  <w:marBottom w:val="0"/>
                  <w:divBdr>
                    <w:top w:val="none" w:sz="0" w:space="0" w:color="auto"/>
                    <w:left w:val="none" w:sz="0" w:space="0" w:color="auto"/>
                    <w:bottom w:val="none" w:sz="0" w:space="0" w:color="auto"/>
                    <w:right w:val="none" w:sz="0" w:space="0" w:color="auto"/>
                  </w:divBdr>
                </w:div>
                <w:div w:id="1871793881">
                  <w:marLeft w:val="0"/>
                  <w:marRight w:val="0"/>
                  <w:marTop w:val="0"/>
                  <w:marBottom w:val="0"/>
                  <w:divBdr>
                    <w:top w:val="none" w:sz="0" w:space="0" w:color="auto"/>
                    <w:left w:val="none" w:sz="0" w:space="0" w:color="auto"/>
                    <w:bottom w:val="none" w:sz="0" w:space="0" w:color="auto"/>
                    <w:right w:val="none" w:sz="0" w:space="0" w:color="auto"/>
                  </w:divBdr>
                </w:div>
                <w:div w:id="2142267433">
                  <w:marLeft w:val="0"/>
                  <w:marRight w:val="0"/>
                  <w:marTop w:val="0"/>
                  <w:marBottom w:val="0"/>
                  <w:divBdr>
                    <w:top w:val="none" w:sz="0" w:space="0" w:color="auto"/>
                    <w:left w:val="none" w:sz="0" w:space="0" w:color="auto"/>
                    <w:bottom w:val="none" w:sz="0" w:space="0" w:color="auto"/>
                    <w:right w:val="none" w:sz="0" w:space="0" w:color="auto"/>
                  </w:divBdr>
                </w:div>
                <w:div w:id="311911673">
                  <w:marLeft w:val="0"/>
                  <w:marRight w:val="0"/>
                  <w:marTop w:val="0"/>
                  <w:marBottom w:val="0"/>
                  <w:divBdr>
                    <w:top w:val="none" w:sz="0" w:space="0" w:color="auto"/>
                    <w:left w:val="none" w:sz="0" w:space="0" w:color="auto"/>
                    <w:bottom w:val="none" w:sz="0" w:space="0" w:color="auto"/>
                    <w:right w:val="none" w:sz="0" w:space="0" w:color="auto"/>
                  </w:divBdr>
                </w:div>
                <w:div w:id="9869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950">
      <w:bodyDiv w:val="1"/>
      <w:marLeft w:val="0"/>
      <w:marRight w:val="0"/>
      <w:marTop w:val="0"/>
      <w:marBottom w:val="0"/>
      <w:divBdr>
        <w:top w:val="none" w:sz="0" w:space="0" w:color="auto"/>
        <w:left w:val="none" w:sz="0" w:space="0" w:color="auto"/>
        <w:bottom w:val="none" w:sz="0" w:space="0" w:color="auto"/>
        <w:right w:val="none" w:sz="0" w:space="0" w:color="auto"/>
      </w:divBdr>
      <w:divsChild>
        <w:div w:id="1396463877">
          <w:marLeft w:val="0"/>
          <w:marRight w:val="0"/>
          <w:marTop w:val="0"/>
          <w:marBottom w:val="0"/>
          <w:divBdr>
            <w:top w:val="none" w:sz="0" w:space="0" w:color="auto"/>
            <w:left w:val="none" w:sz="0" w:space="0" w:color="auto"/>
            <w:bottom w:val="none" w:sz="0" w:space="0" w:color="auto"/>
            <w:right w:val="none" w:sz="0" w:space="0" w:color="auto"/>
          </w:divBdr>
        </w:div>
        <w:div w:id="775557229">
          <w:marLeft w:val="0"/>
          <w:marRight w:val="0"/>
          <w:marTop w:val="0"/>
          <w:marBottom w:val="0"/>
          <w:divBdr>
            <w:top w:val="none" w:sz="0" w:space="0" w:color="auto"/>
            <w:left w:val="none" w:sz="0" w:space="0" w:color="auto"/>
            <w:bottom w:val="none" w:sz="0" w:space="0" w:color="auto"/>
            <w:right w:val="none" w:sz="0" w:space="0" w:color="auto"/>
          </w:divBdr>
        </w:div>
        <w:div w:id="770779389">
          <w:marLeft w:val="0"/>
          <w:marRight w:val="0"/>
          <w:marTop w:val="0"/>
          <w:marBottom w:val="0"/>
          <w:divBdr>
            <w:top w:val="none" w:sz="0" w:space="0" w:color="auto"/>
            <w:left w:val="none" w:sz="0" w:space="0" w:color="auto"/>
            <w:bottom w:val="none" w:sz="0" w:space="0" w:color="auto"/>
            <w:right w:val="none" w:sz="0" w:space="0" w:color="auto"/>
          </w:divBdr>
        </w:div>
        <w:div w:id="41944436">
          <w:marLeft w:val="0"/>
          <w:marRight w:val="0"/>
          <w:marTop w:val="0"/>
          <w:marBottom w:val="0"/>
          <w:divBdr>
            <w:top w:val="none" w:sz="0" w:space="0" w:color="auto"/>
            <w:left w:val="none" w:sz="0" w:space="0" w:color="auto"/>
            <w:bottom w:val="none" w:sz="0" w:space="0" w:color="auto"/>
            <w:right w:val="none" w:sz="0" w:space="0" w:color="auto"/>
          </w:divBdr>
        </w:div>
        <w:div w:id="122665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econ/cfs/" TargetMode="External"/><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package" Target="embeddings/Microsoft_Excel_Worksheet1.xlsx"/><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Excel_Worksheet3.xls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emf"/><Relationship Id="rId28" Type="http://schemas.openxmlformats.org/officeDocument/2006/relationships/image" Target="media/image6.emf"/><Relationship Id="rId10" Type="http://schemas.openxmlformats.org/officeDocument/2006/relationships/hyperlink" Target="http://www.census.gov/econ/cfs/2012_methodology.html" TargetMode="External"/><Relationship Id="rId19" Type="http://schemas.openxmlformats.org/officeDocument/2006/relationships/image" Target="media/image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ensus.gov/econ/cfs/2012_methodology.html" TargetMode="External"/><Relationship Id="rId14" Type="http://schemas.openxmlformats.org/officeDocument/2006/relationships/footer" Target="footer2.xml"/><Relationship Id="rId22" Type="http://schemas.openxmlformats.org/officeDocument/2006/relationships/package" Target="embeddings/Microsoft_Excel_Worksheet2.xlsx"/><Relationship Id="rId27" Type="http://schemas.openxmlformats.org/officeDocument/2006/relationships/image" Target="media/image5.emf"/><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2E3A3-AEB1-48D7-8074-C432DB57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D47E88B1</Template>
  <TotalTime>24</TotalTime>
  <Pages>19</Pages>
  <Words>4528</Words>
  <Characters>25814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30282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 Alan Dahl</dc:creator>
  <cp:lastModifiedBy>Brian J Mcelroy (CENSUS/ERD FED)</cp:lastModifiedBy>
  <cp:revision>5</cp:revision>
  <dcterms:created xsi:type="dcterms:W3CDTF">2018-01-02T14:38:00Z</dcterms:created>
  <dcterms:modified xsi:type="dcterms:W3CDTF">2018-01-03T11:33:00Z</dcterms:modified>
</cp:coreProperties>
</file>