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Leave Policy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Leave 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Policy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2026-04-01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2027-03-31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Human Resources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POL-03 v1.0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policy explains the types of leave available and how leave is requested and approved.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Annual Leave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Confirmed employees are entitled to 20 working days of annual leave per calendar year.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Employees must apply for annual leave at least 14 days in advance through the HR portal.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Employees must not take more than 10 consecutive working days of annual leave without Department Head approval.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2.4 </w:t>
      </w:r>
      <w:r>
        <w:rPr>
          <w:rFonts w:ascii="Calibri" w:cs="Calibri" w:eastAsia="Calibri" w:hAnsi="Calibri"/>
          <w:sz w:val="22"/>
          <w:szCs w:val="22"/>
        </w:rPr>
        <w:t xml:space="preserve">Unused annual leave may be carried forward up to a maximum of 10 days.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Sick Leave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Employees must inform their reporting manager before 10:00 AM on any day they cannot come to work due to sickness.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Sick leave of more than 2 consecutive days must be supported by a medical certificate.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Mandatory Leave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Cash Teller, Branch Manager, Operations Coordinator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Staff in these roles must take at least 5 consecutive working days of leave each year as a fraud-control measure.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During mandatory leave, the duties of the employee must be performed by another authorised staff member.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5. Leave Approval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Team Leader,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5.1 </w:t>
      </w:r>
      <w:r>
        <w:rPr>
          <w:rFonts w:ascii="Calibri" w:cs="Calibri" w:eastAsia="Calibri" w:hAnsi="Calibri"/>
          <w:sz w:val="22"/>
          <w:szCs w:val="22"/>
        </w:rPr>
        <w:t xml:space="preserve">Approvers must check team coverage before approving overlapping leave requests.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5.2 </w:t>
      </w:r>
      <w:r>
        <w:rPr>
          <w:rFonts w:ascii="Calibri" w:cs="Calibri" w:eastAsia="Calibri" w:hAnsi="Calibri"/>
          <w:sz w:val="22"/>
          <w:szCs w:val="22"/>
        </w:rPr>
        <w:t xml:space="preserve">Approvers should avoid approving leave for more than 30% of a team at the same time.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6. Related Guidance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6.1 </w:t>
      </w:r>
      <w:r>
        <w:rPr>
          <w:rFonts w:ascii="Calibri" w:cs="Calibri" w:eastAsia="Calibri" w:hAnsi="Calibri"/>
          <w:sz w:val="22"/>
          <w:szCs w:val="22"/>
        </w:rPr>
        <w:t xml:space="preserve">Employees may refer to the HR and Leave FAQ (FAQ-01) for common questions; where the FAQ differs from this policy, this policy prevails.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POL-03 v2.0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Leave Policy</dc:title>
  <dc:creator>Sitara Bank Ltd.</dc:creator>
  <cp:lastModifiedBy>Un-named</cp:lastModifiedBy>
  <cp:revision>1</cp:revision>
  <dcterms:created xsi:type="dcterms:W3CDTF">2026-09-24T05:58:10.626Z</dcterms:created>
  <dcterms:modified xsi:type="dcterms:W3CDTF">2026-09-24T05:58:10.626Z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