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Data Privacy Policy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POL-06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Privacy 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2026-05-01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2027-04-30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Compliance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POL-06 v1.0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policy governs how personal data of customers and employees is collected, used, stored and destroyed.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Personal Data Handling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Employees must access customer personal data only when it is required for their assigned duties.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Employees must complete the Data Privacy Essentials module within 14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Customer data must not be sent to personal email addresses or messaging apps.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Customer-Facing Staff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Customer Service Officer, Sales Executive, Cash Teller,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Customer-facing staff must verify the identity of the customer using at least two identifiers before sharing account information.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Customer-facing staff must not write customer account numbers on paper notes.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Customer-facing staff should use the screen privacy filter provided at the counter.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Data Retention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Compliance Officer, Operations Coordinator, Data Analyst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Customer transaction records must be retained for 10 years from the date of account closure.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Records past their retention period must be destroyed using the approved secure disposal process.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Data Breach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Any suspected data breach must be reported to the Compliance Officer within 2 hours.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Compliance Officers must notify the regulator of a confirmed breach within 72 hours. (Applies to: Compliance Officer)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6. Analytics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Data Analyst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</w:t>
      </w:r>
      <w:r>
        <w:rPr>
          <w:rFonts w:ascii="Calibri" w:cs="Calibri" w:eastAsia="Calibri" w:hAnsi="Calibri"/>
          <w:sz w:val="22"/>
          <w:szCs w:val="22"/>
        </w:rPr>
        <w:t xml:space="preserve">Data Analysts must use anonymised or masked data sets for analysis and reporting.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 </w:t>
      </w:r>
      <w:r>
        <w:rPr>
          <w:rFonts w:ascii="Calibri" w:cs="Calibri" w:eastAsia="Calibri" w:hAnsi="Calibri"/>
          <w:sz w:val="22"/>
          <w:szCs w:val="22"/>
        </w:rPr>
        <w:t xml:space="preserve">Data Analysts must not export customer-level data outside the analytics environment.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 </w:t>
      </w:r>
      <w:r>
        <w:rPr>
          <w:rFonts w:ascii="Calibri" w:cs="Calibri" w:eastAsia="Calibri" w:hAnsi="Calibri"/>
          <w:sz w:val="22"/>
          <w:szCs w:val="22"/>
        </w:rPr>
        <w:t xml:space="preserve">Data Analysts may use aggregated data in presentations without further approval.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POL-06 v2.0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Privacy Policy</dc:title>
  <dc:creator>Sitara Bank Ltd.</dc:creator>
  <cp:lastModifiedBy>Un-named</cp:lastModifiedBy>
  <cp:revision>1</cp:revision>
  <dcterms:created xsi:type="dcterms:W3CDTF">2026-09-24T05:58:10.767Z</dcterms:created>
  <dcterms:modified xsi:type="dcterms:W3CDTF">2026-09-24T05:58:10.767Z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