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AML and KYC Compliance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AML and KYC Compliance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2026-02-01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2027-01-31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POL-07 v1.0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sets out the Anti-Money Laundering (AML) and Know Your Customer (KYC) controls of the bank.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AML Training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Branch Manager, Customer Service Officer, Sales Executive, Cash Teller, Compliance Officer,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Staff in scope must complete the AML and KYC Fundamentals module within 14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Staff in scope must pass the AML assessment with a minimum score of 80%.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Customer Due Diligence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Customer Service Officer, Branch Manager, Cash Teller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Staff must verify the CNIC of the customer through the NADRA verification system before opening any account.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Staff must obtain source-of-income documents for accounts expected to receive more than PKR 1,000,000 per month.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Enhanced due diligence must be applied to politically exposed persons (PEPs).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Suspicious Activity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Customer Service Officer, Branch Manager, Cash Teller,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Staff must report any suspicious transaction to the Compliance Officer on the same working day.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Staff must not inform the customer that a suspicious activity report has been filed.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Cash Thresholds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If a single cash deposit exceeds PKR 2,000,000, the Cash Teller must obtain Branch Manager approval before processing it.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Branch Managers must review the daily large-cash transaction report before close of business.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Compliance Monitoring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Compliance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Compliance Officers must file Suspicious Transaction Reports with the Financial Monitoring Unit within 7 days of detection.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</w:t>
      </w:r>
      <w:r>
        <w:rPr>
          <w:rFonts w:ascii="Calibri" w:cs="Calibri" w:eastAsia="Calibri" w:hAnsi="Calibri"/>
          <w:sz w:val="22"/>
          <w:szCs w:val="22"/>
        </w:rPr>
        <w:t xml:space="preserve">Compliance Officers must perform monthly sample testing of KYC files.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</w:t>
      </w:r>
      <w:r>
        <w:rPr>
          <w:rFonts w:ascii="Calibri" w:cs="Calibri" w:eastAsia="Calibri" w:hAnsi="Calibri"/>
          <w:sz w:val="22"/>
          <w:szCs w:val="22"/>
        </w:rPr>
        <w:t xml:space="preserve">Compliance Officers should maintain a watch list of high-risk customers.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POL-07 v2.0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and KYC Compliance Policy</dc:title>
  <dc:creator>Sitara Bank Ltd.</dc:creator>
  <cp:lastModifiedBy>Un-named</cp:lastModifiedBy>
  <cp:revision>1</cp:revision>
  <dcterms:created xsi:type="dcterms:W3CDTF">2026-09-24T05:58:10.805Z</dcterms:created>
  <dcterms:modified xsi:type="dcterms:W3CDTF">2026-09-24T05:58:10.805Z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