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jc w:val="center"/>
      </w:pPr>
      <w:r>
        <w:rPr>
          <w:rFonts w:ascii="Calibri" w:hAnsi="Calibri"/>
          <w:b/>
          <w:color w:val="1B365D"/>
          <w:sz w:val="52"/>
        </w:rPr>
        <w:t>PROJECT REPORT</w:t>
      </w:r>
    </w:p>
    <w:p>
      <w:pPr>
        <w:spacing w:after="360"/>
        <w:jc w:val="center"/>
      </w:pPr>
      <w:r>
        <w:rPr>
          <w:rFonts w:ascii="Calibri" w:hAnsi="Calibri"/>
          <w:color w:val="2B6CB0"/>
          <w:sz w:val="28"/>
        </w:rPr>
        <w:t>Interactive Blockchain Concept Visualizer</w:t>
      </w:r>
    </w:p>
    <w:tbl>
      <w:tblPr>
        <w:tblW w:type="auto" w:w="0"/>
        <w:jc w:val="center"/>
        <w:tblLook w:firstColumn="1" w:firstRow="1" w:lastColumn="0" w:lastRow="0" w:noHBand="0" w:noVBand="1" w:val="04A0"/>
      </w:tblPr>
      <w:tblGrid>
        <w:gridCol w:w="4680"/>
        <w:gridCol w:w="4680"/>
      </w:tblGrid>
      <w:tr>
        <w:tc>
          <w:tcPr>
            <w:tcW w:type="dxa" w:w="3168"/>
            <w:shd w:fill="2B6CB0"/>
            <w:tcMar>
              <w:top w:w="100" w:type="dxa"/>
              <w:bottom w:w="100" w:type="dxa"/>
              <w:left w:w="120" w:type="dxa"/>
              <w:right w:w="120" w:type="dxa"/>
            </w:tcMar>
          </w:tcPr>
          <w:p>
            <w:pPr>
              <w:spacing w:before="0" w:after="0"/>
            </w:pPr>
            <w:r>
              <w:rPr>
                <w:rFonts w:ascii="Calibri" w:hAnsi="Calibri"/>
                <w:b/>
                <w:color w:val="FFFFFF"/>
                <w:sz w:val="20"/>
              </w:rPr>
              <w:t>Project Specification</w:t>
            </w:r>
          </w:p>
        </w:tc>
        <w:tc>
          <w:tcPr>
            <w:tcW w:type="dxa" w:w="6192"/>
            <w:shd w:fill="2B6CB0"/>
            <w:tcMar>
              <w:top w:w="100" w:type="dxa"/>
              <w:bottom w:w="100" w:type="dxa"/>
              <w:left w:w="120" w:type="dxa"/>
              <w:right w:w="120" w:type="dxa"/>
            </w:tcMar>
          </w:tcPr>
          <w:p>
            <w:pPr>
              <w:spacing w:before="0" w:after="0"/>
            </w:pPr>
            <w:r>
              <w:rPr>
                <w:rFonts w:ascii="Calibri" w:hAnsi="Calibri"/>
                <w:b/>
                <w:color w:val="FFFFFF"/>
                <w:sz w:val="20"/>
              </w:rPr>
              <w:t>Academic &amp; Technical Details</w:t>
            </w:r>
          </w:p>
        </w:tc>
      </w:tr>
      <w:tr>
        <w:tc>
          <w:tcPr>
            <w:tcW w:type="dxa" w:w="3168"/>
            <w:shd w:fill="FFFFFF"/>
            <w:tcMar>
              <w:top w:w="80" w:type="dxa"/>
              <w:bottom w:w="80" w:type="dxa"/>
              <w:left w:w="120" w:type="dxa"/>
              <w:right w:w="120" w:type="dxa"/>
            </w:tcMar>
          </w:tcPr>
          <w:p>
            <w:pPr>
              <w:spacing w:before="0" w:after="0"/>
            </w:pPr>
            <w:r>
              <w:rPr>
                <w:rFonts w:ascii="Calibri" w:hAnsi="Calibri"/>
                <w:color w:val="2D3748"/>
                <w:sz w:val="19"/>
              </w:rPr>
              <w:t>Project Title</w:t>
            </w:r>
          </w:p>
        </w:tc>
        <w:tc>
          <w:tcPr>
            <w:tcW w:type="dxa" w:w="6192"/>
            <w:shd w:fill="FFFFFF"/>
            <w:tcMar>
              <w:top w:w="80" w:type="dxa"/>
              <w:bottom w:w="80" w:type="dxa"/>
              <w:left w:w="120" w:type="dxa"/>
              <w:right w:w="120" w:type="dxa"/>
            </w:tcMar>
          </w:tcPr>
          <w:p>
            <w:pPr>
              <w:spacing w:before="0" w:after="0"/>
            </w:pPr>
            <w:r>
              <w:rPr>
                <w:rFonts w:ascii="Calibri" w:hAnsi="Calibri"/>
                <w:color w:val="2D3748"/>
                <w:sz w:val="19"/>
              </w:rPr>
              <w:t>Blockchain Concept Visualizer (CSB24PCC452 Companion)</w:t>
            </w:r>
          </w:p>
        </w:tc>
      </w:tr>
      <w:tr>
        <w:tc>
          <w:tcPr>
            <w:tcW w:type="dxa" w:w="3168"/>
            <w:shd w:fill="F7FAFC"/>
            <w:tcMar>
              <w:top w:w="80" w:type="dxa"/>
              <w:bottom w:w="80" w:type="dxa"/>
              <w:left w:w="120" w:type="dxa"/>
              <w:right w:w="120" w:type="dxa"/>
            </w:tcMar>
          </w:tcPr>
          <w:p>
            <w:pPr>
              <w:spacing w:before="0" w:after="0"/>
            </w:pPr>
            <w:r>
              <w:rPr>
                <w:rFonts w:ascii="Calibri" w:hAnsi="Calibri"/>
                <w:color w:val="2D3748"/>
                <w:sz w:val="19"/>
              </w:rPr>
              <w:t>Student Developer</w:t>
            </w:r>
          </w:p>
        </w:tc>
        <w:tc>
          <w:tcPr>
            <w:tcW w:type="dxa" w:w="6192"/>
            <w:shd w:fill="F7FAFC"/>
            <w:tcMar>
              <w:top w:w="80" w:type="dxa"/>
              <w:bottom w:w="80" w:type="dxa"/>
              <w:left w:w="120" w:type="dxa"/>
              <w:right w:w="120" w:type="dxa"/>
            </w:tcMar>
          </w:tcPr>
          <w:p>
            <w:pPr>
              <w:spacing w:before="0" w:after="0"/>
            </w:pPr>
            <w:r>
              <w:rPr>
                <w:rFonts w:ascii="Calibri" w:hAnsi="Calibri"/>
                <w:color w:val="2D3748"/>
                <w:sz w:val="19"/>
              </w:rPr>
              <w:t>Kshitij Pingale</w:t>
            </w:r>
          </w:p>
        </w:tc>
      </w:tr>
      <w:tr>
        <w:tc>
          <w:tcPr>
            <w:tcW w:type="dxa" w:w="3168"/>
            <w:shd w:fill="FFFFFF"/>
            <w:tcMar>
              <w:top w:w="80" w:type="dxa"/>
              <w:bottom w:w="80" w:type="dxa"/>
              <w:left w:w="120" w:type="dxa"/>
              <w:right w:w="120" w:type="dxa"/>
            </w:tcMar>
          </w:tcPr>
          <w:p>
            <w:pPr>
              <w:spacing w:before="0" w:after="0"/>
            </w:pPr>
            <w:r>
              <w:rPr>
                <w:rFonts w:ascii="Calibri" w:hAnsi="Calibri"/>
                <w:color w:val="2D3748"/>
                <w:sz w:val="19"/>
              </w:rPr>
              <w:t>Academic Program</w:t>
            </w:r>
          </w:p>
        </w:tc>
        <w:tc>
          <w:tcPr>
            <w:tcW w:type="dxa" w:w="6192"/>
            <w:shd w:fill="FFFFFF"/>
            <w:tcMar>
              <w:top w:w="80" w:type="dxa"/>
              <w:bottom w:w="80" w:type="dxa"/>
              <w:left w:w="120" w:type="dxa"/>
              <w:right w:w="120" w:type="dxa"/>
            </w:tcMar>
          </w:tcPr>
          <w:p>
            <w:pPr>
              <w:spacing w:before="0" w:after="0"/>
            </w:pPr>
            <w:r>
              <w:rPr>
                <w:rFonts w:ascii="Calibri" w:hAnsi="Calibri"/>
                <w:color w:val="2D3748"/>
                <w:sz w:val="19"/>
              </w:rPr>
              <w:t>B.Tech, Cybersecurity and Blockchain Technology</w:t>
            </w:r>
          </w:p>
        </w:tc>
      </w:tr>
      <w:tr>
        <w:tc>
          <w:tcPr>
            <w:tcW w:type="dxa" w:w="3168"/>
            <w:shd w:fill="F7FAFC"/>
            <w:tcMar>
              <w:top w:w="80" w:type="dxa"/>
              <w:bottom w:w="80" w:type="dxa"/>
              <w:left w:w="120" w:type="dxa"/>
              <w:right w:w="120" w:type="dxa"/>
            </w:tcMar>
          </w:tcPr>
          <w:p>
            <w:pPr>
              <w:spacing w:before="0" w:after="0"/>
            </w:pPr>
            <w:r>
              <w:rPr>
                <w:rFonts w:ascii="Calibri" w:hAnsi="Calibri"/>
                <w:color w:val="2D3748"/>
                <w:sz w:val="19"/>
              </w:rPr>
              <w:t>University / Department</w:t>
            </w:r>
          </w:p>
        </w:tc>
        <w:tc>
          <w:tcPr>
            <w:tcW w:type="dxa" w:w="6192"/>
            <w:shd w:fill="F7FAFC"/>
            <w:tcMar>
              <w:top w:w="80" w:type="dxa"/>
              <w:bottom w:w="80" w:type="dxa"/>
              <w:left w:w="120" w:type="dxa"/>
              <w:right w:w="120" w:type="dxa"/>
            </w:tcMar>
          </w:tcPr>
          <w:p>
            <w:pPr>
              <w:spacing w:before="0" w:after="0"/>
            </w:pPr>
            <w:r>
              <w:rPr>
                <w:rFonts w:ascii="Calibri" w:hAnsi="Calibri"/>
                <w:color w:val="2D3748"/>
                <w:sz w:val="19"/>
              </w:rPr>
              <w:t>MGM University, Chhatrapati Sambhajinagar</w:t>
            </w:r>
          </w:p>
        </w:tc>
      </w:tr>
      <w:tr>
        <w:tc>
          <w:tcPr>
            <w:tcW w:type="dxa" w:w="3168"/>
            <w:shd w:fill="FFFFFF"/>
            <w:tcMar>
              <w:top w:w="80" w:type="dxa"/>
              <w:bottom w:w="80" w:type="dxa"/>
              <w:left w:w="120" w:type="dxa"/>
              <w:right w:w="120" w:type="dxa"/>
            </w:tcMar>
          </w:tcPr>
          <w:p>
            <w:pPr>
              <w:spacing w:before="0" w:after="0"/>
            </w:pPr>
            <w:r>
              <w:rPr>
                <w:rFonts w:ascii="Calibri" w:hAnsi="Calibri"/>
                <w:color w:val="2D3748"/>
                <w:sz w:val="19"/>
              </w:rPr>
              <w:t>Course &amp; Category</w:t>
            </w:r>
          </w:p>
        </w:tc>
        <w:tc>
          <w:tcPr>
            <w:tcW w:type="dxa" w:w="6192"/>
            <w:shd w:fill="FFFFFF"/>
            <w:tcMar>
              <w:top w:w="80" w:type="dxa"/>
              <w:bottom w:w="80" w:type="dxa"/>
              <w:left w:w="120" w:type="dxa"/>
              <w:right w:w="120" w:type="dxa"/>
            </w:tcMar>
          </w:tcPr>
          <w:p>
            <w:pPr>
              <w:spacing w:before="0" w:after="0"/>
            </w:pPr>
            <w:r>
              <w:rPr>
                <w:rFonts w:ascii="Calibri" w:hAnsi="Calibri"/>
                <w:color w:val="2D3748"/>
                <w:sz w:val="19"/>
              </w:rPr>
              <w:t>Blockchain (Course Code: CSB24PCC452) | PCC | 2 Credits</w:t>
            </w:r>
          </w:p>
        </w:tc>
      </w:tr>
      <w:tr>
        <w:tc>
          <w:tcPr>
            <w:tcW w:type="dxa" w:w="3168"/>
            <w:shd w:fill="F7FAFC"/>
            <w:tcMar>
              <w:top w:w="80" w:type="dxa"/>
              <w:bottom w:w="80" w:type="dxa"/>
              <w:left w:w="120" w:type="dxa"/>
              <w:right w:w="120" w:type="dxa"/>
            </w:tcMar>
          </w:tcPr>
          <w:p>
            <w:pPr>
              <w:spacing w:before="0" w:after="0"/>
            </w:pPr>
            <w:r>
              <w:rPr>
                <w:rFonts w:ascii="Calibri" w:hAnsi="Calibri"/>
                <w:color w:val="2D3748"/>
                <w:sz w:val="19"/>
              </w:rPr>
              <w:t>Tech Architecture</w:t>
            </w:r>
          </w:p>
        </w:tc>
        <w:tc>
          <w:tcPr>
            <w:tcW w:type="dxa" w:w="6192"/>
            <w:shd w:fill="F7FAFC"/>
            <w:tcMar>
              <w:top w:w="80" w:type="dxa"/>
              <w:bottom w:w="80" w:type="dxa"/>
              <w:left w:w="120" w:type="dxa"/>
              <w:right w:w="120" w:type="dxa"/>
            </w:tcMar>
          </w:tcPr>
          <w:p>
            <w:pPr>
              <w:spacing w:before="0" w:after="0"/>
            </w:pPr>
            <w:r>
              <w:rPr>
                <w:rFonts w:ascii="Calibri" w:hAnsi="Calibri"/>
                <w:color w:val="2D3748"/>
                <w:sz w:val="19"/>
              </w:rPr>
              <w:t>Zero-Dependency Client-Side SPA (HTML5, Vanilla CSS3, ES6+ JS)</w:t>
            </w:r>
          </w:p>
        </w:tc>
      </w:tr>
      <w:tr>
        <w:tc>
          <w:tcPr>
            <w:tcW w:type="dxa" w:w="3168"/>
            <w:shd w:fill="FFFFFF"/>
            <w:tcMar>
              <w:top w:w="80" w:type="dxa"/>
              <w:bottom w:w="80" w:type="dxa"/>
              <w:left w:w="120" w:type="dxa"/>
              <w:right w:w="120" w:type="dxa"/>
            </w:tcMar>
          </w:tcPr>
          <w:p>
            <w:pPr>
              <w:spacing w:before="0" w:after="0"/>
            </w:pPr>
            <w:r>
              <w:rPr>
                <w:rFonts w:ascii="Calibri" w:hAnsi="Calibri"/>
                <w:color w:val="2D3748"/>
                <w:sz w:val="19"/>
              </w:rPr>
              <w:t>Deployment Environment</w:t>
            </w:r>
          </w:p>
        </w:tc>
        <w:tc>
          <w:tcPr>
            <w:tcW w:type="dxa" w:w="6192"/>
            <w:shd w:fill="FFFFFF"/>
            <w:tcMar>
              <w:top w:w="80" w:type="dxa"/>
              <w:bottom w:w="80" w:type="dxa"/>
              <w:left w:w="120" w:type="dxa"/>
              <w:right w:w="120" w:type="dxa"/>
            </w:tcMar>
          </w:tcPr>
          <w:p>
            <w:pPr>
              <w:spacing w:before="0" w:after="0"/>
            </w:pPr>
            <w:r>
              <w:rPr>
                <w:rFonts w:ascii="Calibri" w:hAnsi="Calibri"/>
                <w:color w:val="2D3748"/>
                <w:sz w:val="19"/>
              </w:rPr>
              <w:t>Local HTTP Server (Port 3000) / Any Standard Web Browser</w:t>
            </w:r>
          </w:p>
        </w:tc>
      </w:tr>
      <w:tr>
        <w:tc>
          <w:tcPr>
            <w:tcW w:type="dxa" w:w="3168"/>
            <w:shd w:fill="F7FAFC"/>
            <w:tcMar>
              <w:top w:w="80" w:type="dxa"/>
              <w:bottom w:w="80" w:type="dxa"/>
              <w:left w:w="120" w:type="dxa"/>
              <w:right w:w="120" w:type="dxa"/>
            </w:tcMar>
          </w:tcPr>
          <w:p>
            <w:pPr>
              <w:spacing w:before="0" w:after="0"/>
            </w:pPr>
            <w:r>
              <w:rPr>
                <w:rFonts w:ascii="Calibri" w:hAnsi="Calibri"/>
                <w:color w:val="2D3748"/>
                <w:sz w:val="19"/>
              </w:rPr>
              <w:t>Current Revision</w:t>
            </w:r>
          </w:p>
        </w:tc>
        <w:tc>
          <w:tcPr>
            <w:tcW w:type="dxa" w:w="6192"/>
            <w:shd w:fill="F7FAFC"/>
            <w:tcMar>
              <w:top w:w="80" w:type="dxa"/>
              <w:bottom w:w="80" w:type="dxa"/>
              <w:left w:w="120" w:type="dxa"/>
              <w:right w:w="120" w:type="dxa"/>
            </w:tcMar>
          </w:tcPr>
          <w:p>
            <w:pPr>
              <w:spacing w:before="0" w:after="0"/>
            </w:pPr>
            <w:r>
              <w:rPr>
                <w:rFonts w:ascii="Calibri" w:hAnsi="Calibri"/>
                <w:color w:val="2D3748"/>
                <w:sz w:val="19"/>
              </w:rPr>
              <w:t>Version 2.1 — Light Academic Theme &amp; Zero-Lag Scroll Engine</w:t>
            </w:r>
          </w:p>
        </w:tc>
      </w:tr>
    </w:tbl>
    <w:p>
      <w:pPr>
        <w:spacing w:after="120"/>
      </w:pPr>
    </w:p>
    <w:p>
      <w:pPr>
        <w:keepNext/>
        <w:spacing w:before="320" w:after="120"/>
      </w:pPr>
      <w:r>
        <w:rPr>
          <w:rFonts w:ascii="Calibri" w:hAnsi="Calibri"/>
          <w:b/>
          <w:color w:val="1B365D"/>
          <w:sz w:val="32"/>
        </w:rPr>
        <w:t>1. Introduction &amp; Project Motivation</w:t>
      </w:r>
    </w:p>
    <w:p>
      <w:r>
        <w:t>This project report defines the comprehensive architecture, pedagogical design, and technical implementation of the Interactive Blockchain Concept Visualizer, built as a direct practical companion to the undergraduate Blockchain course (CSB24PCC452) at MGM University.</w:t>
      </w:r>
    </w:p>
    <w:p>
      <w:r>
        <w:t>Traditional instructional methods in distributed systems and blockchain technology frequently struggle to bridge the gap between theoretical cryptographic constructs and intuitive comprehension. Concepts such as one-way trapdoor functions, cascading hash pointers, non-interactive zero-knowledge bounds, Proof-of-Work difficulty targets, and double-spend race conditions are traditionally presented as static slide formulations. The primary goal of this project is to convert these abstract constructs into an interactive, visual, and manipulable web laboratory where learners can directly poke at variables, inject invalid states, simulate mining hardware, and observe decentralized consensus rules in real-time.</w:t>
      </w:r>
    </w:p>
    <w:p>
      <w:pPr>
        <w:keepNext/>
        <w:spacing w:before="240" w:after="80"/>
      </w:pPr>
      <w:r>
        <w:rPr>
          <w:rFonts w:ascii="Calibri" w:hAnsi="Calibri"/>
          <w:b/>
          <w:color w:val="2B6CB0"/>
          <w:sz w:val="26"/>
        </w:rPr>
        <w:t>Project Objectives</w:t>
      </w:r>
    </w:p>
    <w:p>
      <w:pPr>
        <w:pStyle w:val="ListBullet"/>
      </w:pPr>
      <w:r>
        <w:rPr>
          <w:b/>
          <w:color w:val="1B365D"/>
        </w:rPr>
        <w:t xml:space="preserve">Cryptographic Transparency: </w:t>
      </w:r>
      <w:r>
        <w:t>Make the core cryptographic mechanics of blockchain (SHA-256 hashing, chaining, and tamper-evidence) visible and interactive rather than purely descriptive.</w:t>
      </w:r>
    </w:p>
    <w:p>
      <w:pPr>
        <w:pStyle w:val="ListBullet"/>
      </w:pPr>
      <w:r>
        <w:rPr>
          <w:b/>
          <w:color w:val="1B365D"/>
        </w:rPr>
        <w:t xml:space="preserve">Consensus Paradigm Contrast: </w:t>
      </w:r>
      <w:r>
        <w:t>Directly contrast the two dominant consensus mechanisms—Proof of Work (PoW) and Proof of Stake (PoS)—through synchronized, side-by-side simulation.</w:t>
      </w:r>
    </w:p>
    <w:p>
      <w:pPr>
        <w:pStyle w:val="ListBullet"/>
      </w:pPr>
      <w:r>
        <w:rPr>
          <w:b/>
          <w:color w:val="1B365D"/>
        </w:rPr>
        <w:t xml:space="preserve">One-Way Key Derivation: </w:t>
      </w:r>
      <w:r>
        <w:t>Demonstrate the mathematical one-directionality of the private-to-public-to-address derivation pipeline utilized in decentralized wallets.</w:t>
      </w:r>
    </w:p>
    <w:p>
      <w:pPr>
        <w:pStyle w:val="ListBullet"/>
      </w:pPr>
      <w:r>
        <w:rPr>
          <w:b/>
          <w:color w:val="1B365D"/>
        </w:rPr>
        <w:t xml:space="preserve">Double-Spend Resolution: </w:t>
      </w:r>
      <w:r>
        <w:t>Illustrate why the double-spend vulnerability occurs and how block confirmation depth, rather than the transaction creation itself, secures network state.</w:t>
      </w:r>
    </w:p>
    <w:p>
      <w:pPr>
        <w:pStyle w:val="ListBullet"/>
      </w:pPr>
      <w:r>
        <w:rPr>
          <w:b/>
          <w:color w:val="1B365D"/>
        </w:rPr>
        <w:t xml:space="preserve">Zero-Friction Access: </w:t>
      </w:r>
      <w:r>
        <w:t>Deliver an ultra-lightweight, zero-dependency browser application requiring zero npm installs, build steps, or specialized backend infrastructure.</w:t>
      </w:r>
    </w:p>
    <w:p>
      <w:pPr>
        <w:keepNext/>
        <w:spacing w:before="320" w:after="120"/>
      </w:pPr>
      <w:r>
        <w:rPr>
          <w:rFonts w:ascii="Calibri" w:hAnsi="Calibri"/>
          <w:b/>
          <w:color w:val="1B365D"/>
          <w:sz w:val="32"/>
        </w:rPr>
        <w:t>2. System Architecture &amp; Zero-Dependency Stack</w:t>
      </w:r>
    </w:p>
    <w:p>
      <w:r>
        <w:t>The visualizer is purposefully engineered as a zero-dependency, single-file Single Page Application (SPA). This architecture guarantees that students and instructors can execute the entire suite locally by simply double-clicking the HTML file or launching a lightweight Python web server (`python -m http.server 3000`).</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64" w:lineRule="auto"/>
            </w:pPr>
            <w:r>
              <w:rPr>
                <w:rFonts w:ascii="Consolas" w:hAnsi="Consolas"/>
                <w:color w:val="1E293B"/>
                <w:sz w:val="19"/>
              </w:rPr>
              <w:t>+--------------------------------------------------------------------------+</w:t>
              <w:br/>
              <w:t>|                        Browser Runtime (Client-Side)                     |</w:t>
              <w:br/>
              <w:t>+--------------------------------------------------------------------------+</w:t>
              <w:br/>
              <w:t>|  Presentation Layer (Vanilla CSS3):                                     |</w:t>
              <w:br/>
              <w:t>|    - Clean Light Academic Theme (:root design tokens)                    |</w:t>
              <w:br/>
              <w:t>|    - Inter &amp; JetBrains Mono Typography                                   |</w:t>
              <w:br/>
              <w:t>|    - Hardware-Accelerated Layouts (CSS Grid, Flexbox, native scroll)     |</w:t>
              <w:br/>
              <w:t>+--------------------------------------------------------------------------+</w:t>
              <w:br/>
              <w:t>|  Semantic HTML5 Layout Layer:                                           |</w:t>
              <w:br/>
              <w:t>|    - Academic Masthead &amp; Course Identity (MGM University CSB24PCC452)    |</w:t>
              <w:br/>
              <w:t>|    - Threaded Navigation Bar (Modules 01 - 06)                           |</w:t>
              <w:br/>
              <w:t>+--------------------------------------------------------------------------+</w:t>
              <w:br/>
              <w:t>|  Core Logic &amp; Cryptographic Engine (Vanilla ES6+ JavaScript):            |</w:t>
              <w:br/>
              <w:t>|    - Dependency-free RFC 6234 compliant SHA-256 Implementation          |</w:t>
              <w:br/>
              <w:t>|    - Real-Time Blockchain Data Structure &amp; Downstream Validator         |</w:t>
              <w:br/>
              <w:t>|    - Asynchronous Mining Worker (rAF Nonce Generator)                   |</w:t>
              <w:br/>
              <w:t>|    - Monte Carlo Weighted-Random Proof-of-Stake Staking Simulator       |</w:t>
              <w:br/>
              <w:t>|    - Cryptographically Secure Key Derivation Pipeline (CSPRNG)           |</w:t>
              <w:br/>
              <w:t>|    - Ledger &amp; Double-Spend Race Attack Engine                            |</w:t>
              <w:br/>
              <w:t>+--------------------------------------------------------------------------+</w:t>
            </w:r>
          </w:p>
        </w:tc>
      </w:tr>
    </w:tbl>
    <w:p>
      <w:pPr>
        <w:spacing w:after="80"/>
      </w:pPr>
    </w:p>
    <w:tbl>
      <w:tblPr>
        <w:tblW w:type="auto" w:w="0"/>
        <w:jc w:val="center"/>
        <w:tblLook w:firstColumn="1" w:firstRow="1" w:lastColumn="0" w:lastRow="0" w:noHBand="0" w:noVBand="1" w:val="04A0"/>
      </w:tblPr>
      <w:tblGrid>
        <w:gridCol w:w="3120"/>
        <w:gridCol w:w="3120"/>
        <w:gridCol w:w="3120"/>
      </w:tblGrid>
      <w:tr>
        <w:tc>
          <w:tcPr>
            <w:tcW w:type="dxa" w:w="2160"/>
            <w:shd w:fill="2B6CB0"/>
            <w:tcMar>
              <w:top w:w="100" w:type="dxa"/>
              <w:bottom w:w="100" w:type="dxa"/>
              <w:left w:w="120" w:type="dxa"/>
              <w:right w:w="120" w:type="dxa"/>
            </w:tcMar>
          </w:tcPr>
          <w:p>
            <w:pPr>
              <w:spacing w:before="0" w:after="0"/>
            </w:pPr>
            <w:r>
              <w:rPr>
                <w:rFonts w:ascii="Calibri" w:hAnsi="Calibri"/>
                <w:b/>
                <w:color w:val="FFFFFF"/>
                <w:sz w:val="20"/>
              </w:rPr>
              <w:t>Layer</w:t>
            </w:r>
          </w:p>
        </w:tc>
        <w:tc>
          <w:tcPr>
            <w:tcW w:type="dxa" w:w="2880"/>
            <w:shd w:fill="2B6CB0"/>
            <w:tcMar>
              <w:top w:w="100" w:type="dxa"/>
              <w:bottom w:w="100" w:type="dxa"/>
              <w:left w:w="120" w:type="dxa"/>
              <w:right w:w="120" w:type="dxa"/>
            </w:tcMar>
          </w:tcPr>
          <w:p>
            <w:pPr>
              <w:spacing w:before="0" w:after="0"/>
            </w:pPr>
            <w:r>
              <w:rPr>
                <w:rFonts w:ascii="Calibri" w:hAnsi="Calibri"/>
                <w:b/>
                <w:color w:val="FFFFFF"/>
                <w:sz w:val="20"/>
              </w:rPr>
              <w:t>Technology Used</w:t>
            </w:r>
          </w:p>
        </w:tc>
        <w:tc>
          <w:tcPr>
            <w:tcW w:type="dxa" w:w="4320"/>
            <w:shd w:fill="2B6CB0"/>
            <w:tcMar>
              <w:top w:w="100" w:type="dxa"/>
              <w:bottom w:w="100" w:type="dxa"/>
              <w:left w:w="120" w:type="dxa"/>
              <w:right w:w="120" w:type="dxa"/>
            </w:tcMar>
          </w:tcPr>
          <w:p>
            <w:pPr>
              <w:spacing w:before="0" w:after="0"/>
            </w:pPr>
            <w:r>
              <w:rPr>
                <w:rFonts w:ascii="Calibri" w:hAnsi="Calibri"/>
                <w:b/>
                <w:color w:val="FFFFFF"/>
                <w:sz w:val="20"/>
              </w:rPr>
              <w:t>Design Decision Rationale</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9"/>
              </w:rPr>
              <w:t>Markup</w:t>
            </w:r>
          </w:p>
        </w:tc>
        <w:tc>
          <w:tcPr>
            <w:tcW w:type="dxa" w:w="2880"/>
            <w:shd w:fill="FFFFFF"/>
            <w:tcMar>
              <w:top w:w="80" w:type="dxa"/>
              <w:bottom w:w="80" w:type="dxa"/>
              <w:left w:w="120" w:type="dxa"/>
              <w:right w:w="120" w:type="dxa"/>
            </w:tcMar>
          </w:tcPr>
          <w:p>
            <w:pPr>
              <w:spacing w:before="0" w:after="0"/>
            </w:pPr>
            <w:r>
              <w:rPr>
                <w:rFonts w:ascii="Calibri" w:hAnsi="Calibri"/>
                <w:color w:val="2D3748"/>
                <w:sz w:val="19"/>
              </w:rPr>
              <w:t>HTML5 Semantic Tags</w:t>
            </w:r>
          </w:p>
        </w:tc>
        <w:tc>
          <w:tcPr>
            <w:tcW w:type="dxa" w:w="4320"/>
            <w:shd w:fill="FFFFFF"/>
            <w:tcMar>
              <w:top w:w="80" w:type="dxa"/>
              <w:bottom w:w="80" w:type="dxa"/>
              <w:left w:w="120" w:type="dxa"/>
              <w:right w:w="120" w:type="dxa"/>
            </w:tcMar>
          </w:tcPr>
          <w:p>
            <w:pPr>
              <w:spacing w:before="0" w:after="0"/>
            </w:pPr>
            <w:r>
              <w:rPr>
                <w:rFonts w:ascii="Calibri" w:hAnsi="Calibri"/>
                <w:color w:val="2D3748"/>
                <w:sz w:val="19"/>
              </w:rPr>
              <w:t>Provides structured accessibility, clear document outline, and SEO compliance.</w:t>
            </w:r>
          </w:p>
        </w:tc>
      </w:tr>
      <w:tr>
        <w:tc>
          <w:tcPr>
            <w:tcW w:type="dxa" w:w="2160"/>
            <w:shd w:fill="F7FAFC"/>
            <w:tcMar>
              <w:top w:w="80" w:type="dxa"/>
              <w:bottom w:w="80" w:type="dxa"/>
              <w:left w:w="120" w:type="dxa"/>
              <w:right w:w="120" w:type="dxa"/>
            </w:tcMar>
          </w:tcPr>
          <w:p>
            <w:pPr>
              <w:spacing w:before="0" w:after="0"/>
            </w:pPr>
            <w:r>
              <w:rPr>
                <w:rFonts w:ascii="Calibri" w:hAnsi="Calibri"/>
                <w:color w:val="2D3748"/>
                <w:sz w:val="19"/>
              </w:rPr>
              <w:t>Styling</w:t>
            </w:r>
          </w:p>
        </w:tc>
        <w:tc>
          <w:tcPr>
            <w:tcW w:type="dxa" w:w="2880"/>
            <w:shd w:fill="F7FAFC"/>
            <w:tcMar>
              <w:top w:w="80" w:type="dxa"/>
              <w:bottom w:w="80" w:type="dxa"/>
              <w:left w:w="120" w:type="dxa"/>
              <w:right w:w="120" w:type="dxa"/>
            </w:tcMar>
          </w:tcPr>
          <w:p>
            <w:pPr>
              <w:spacing w:before="0" w:after="0"/>
            </w:pPr>
            <w:r>
              <w:rPr>
                <w:rFonts w:ascii="Calibri" w:hAnsi="Calibri"/>
                <w:color w:val="2D3748"/>
                <w:sz w:val="19"/>
              </w:rPr>
              <w:t>Vanilla CSS3 Variables</w:t>
            </w:r>
          </w:p>
        </w:tc>
        <w:tc>
          <w:tcPr>
            <w:tcW w:type="dxa" w:w="4320"/>
            <w:shd w:fill="F7FAFC"/>
            <w:tcMar>
              <w:top w:w="80" w:type="dxa"/>
              <w:bottom w:w="80" w:type="dxa"/>
              <w:left w:w="120" w:type="dxa"/>
              <w:right w:w="120" w:type="dxa"/>
            </w:tcMar>
          </w:tcPr>
          <w:p>
            <w:pPr>
              <w:spacing w:before="0" w:after="0"/>
            </w:pPr>
            <w:r>
              <w:rPr>
                <w:rFonts w:ascii="Calibri" w:hAnsi="Calibri"/>
                <w:color w:val="2D3748"/>
                <w:sz w:val="19"/>
              </w:rPr>
              <w:t>Zero build pipeline; allows rapid tokenized theming without Tailwind or SCSS.</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9"/>
              </w:rPr>
              <w:t>Typography</w:t>
            </w:r>
          </w:p>
        </w:tc>
        <w:tc>
          <w:tcPr>
            <w:tcW w:type="dxa" w:w="2880"/>
            <w:shd w:fill="FFFFFF"/>
            <w:tcMar>
              <w:top w:w="80" w:type="dxa"/>
              <w:bottom w:w="80" w:type="dxa"/>
              <w:left w:w="120" w:type="dxa"/>
              <w:right w:w="120" w:type="dxa"/>
            </w:tcMar>
          </w:tcPr>
          <w:p>
            <w:pPr>
              <w:spacing w:before="0" w:after="0"/>
            </w:pPr>
            <w:r>
              <w:rPr>
                <w:rFonts w:ascii="Calibri" w:hAnsi="Calibri"/>
                <w:color w:val="2D3748"/>
                <w:sz w:val="19"/>
              </w:rPr>
              <w:t>Inter &amp; JetBrains Mono</w:t>
            </w:r>
          </w:p>
        </w:tc>
        <w:tc>
          <w:tcPr>
            <w:tcW w:type="dxa" w:w="4320"/>
            <w:shd w:fill="FFFFFF"/>
            <w:tcMar>
              <w:top w:w="80" w:type="dxa"/>
              <w:bottom w:w="80" w:type="dxa"/>
              <w:left w:w="120" w:type="dxa"/>
              <w:right w:w="120" w:type="dxa"/>
            </w:tcMar>
          </w:tcPr>
          <w:p>
            <w:pPr>
              <w:spacing w:before="0" w:after="0"/>
            </w:pPr>
            <w:r>
              <w:rPr>
                <w:rFonts w:ascii="Calibri" w:hAnsi="Calibri"/>
                <w:color w:val="2D3748"/>
                <w:sz w:val="19"/>
              </w:rPr>
              <w:t>Optimal legibility for UI labels paired with fixed-width clarity for 64-char hex hashes.</w:t>
            </w:r>
          </w:p>
        </w:tc>
      </w:tr>
      <w:tr>
        <w:tc>
          <w:tcPr>
            <w:tcW w:type="dxa" w:w="2160"/>
            <w:shd w:fill="F7FAFC"/>
            <w:tcMar>
              <w:top w:w="80" w:type="dxa"/>
              <w:bottom w:w="80" w:type="dxa"/>
              <w:left w:w="120" w:type="dxa"/>
              <w:right w:w="120" w:type="dxa"/>
            </w:tcMar>
          </w:tcPr>
          <w:p>
            <w:pPr>
              <w:spacing w:before="0" w:after="0"/>
            </w:pPr>
            <w:r>
              <w:rPr>
                <w:rFonts w:ascii="Calibri" w:hAnsi="Calibri"/>
                <w:color w:val="2D3748"/>
                <w:sz w:val="19"/>
              </w:rPr>
              <w:t>Logic</w:t>
            </w:r>
          </w:p>
        </w:tc>
        <w:tc>
          <w:tcPr>
            <w:tcW w:type="dxa" w:w="2880"/>
            <w:shd w:fill="F7FAFC"/>
            <w:tcMar>
              <w:top w:w="80" w:type="dxa"/>
              <w:bottom w:w="80" w:type="dxa"/>
              <w:left w:w="120" w:type="dxa"/>
              <w:right w:w="120" w:type="dxa"/>
            </w:tcMar>
          </w:tcPr>
          <w:p>
            <w:pPr>
              <w:spacing w:before="0" w:after="0"/>
            </w:pPr>
            <w:r>
              <w:rPr>
                <w:rFonts w:ascii="Calibri" w:hAnsi="Calibri"/>
                <w:color w:val="2D3748"/>
                <w:sz w:val="19"/>
              </w:rPr>
              <w:t>Vanilla JavaScript (ES6+)</w:t>
            </w:r>
          </w:p>
        </w:tc>
        <w:tc>
          <w:tcPr>
            <w:tcW w:type="dxa" w:w="4320"/>
            <w:shd w:fill="F7FAFC"/>
            <w:tcMar>
              <w:top w:w="80" w:type="dxa"/>
              <w:bottom w:w="80" w:type="dxa"/>
              <w:left w:w="120" w:type="dxa"/>
              <w:right w:w="120" w:type="dxa"/>
            </w:tcMar>
          </w:tcPr>
          <w:p>
            <w:pPr>
              <w:spacing w:before="0" w:after="0"/>
            </w:pPr>
            <w:r>
              <w:rPr>
                <w:rFonts w:ascii="Calibri" w:hAnsi="Calibri"/>
                <w:color w:val="2D3748"/>
                <w:sz w:val="19"/>
              </w:rPr>
              <w:t>Maximum execution speed, zero bundler dependencies, fully transparent source code.</w:t>
            </w:r>
          </w:p>
        </w:tc>
      </w:tr>
      <w:tr>
        <w:tc>
          <w:tcPr>
            <w:tcW w:type="dxa" w:w="2160"/>
            <w:shd w:fill="FFFFFF"/>
            <w:tcMar>
              <w:top w:w="80" w:type="dxa"/>
              <w:bottom w:w="80" w:type="dxa"/>
              <w:left w:w="120" w:type="dxa"/>
              <w:right w:w="120" w:type="dxa"/>
            </w:tcMar>
          </w:tcPr>
          <w:p>
            <w:pPr>
              <w:spacing w:before="0" w:after="0"/>
            </w:pPr>
            <w:r>
              <w:rPr>
                <w:rFonts w:ascii="Calibri" w:hAnsi="Calibri"/>
                <w:color w:val="2D3748"/>
                <w:sz w:val="19"/>
              </w:rPr>
              <w:t>Cryptography</w:t>
            </w:r>
          </w:p>
        </w:tc>
        <w:tc>
          <w:tcPr>
            <w:tcW w:type="dxa" w:w="2880"/>
            <w:shd w:fill="FFFFFF"/>
            <w:tcMar>
              <w:top w:w="80" w:type="dxa"/>
              <w:bottom w:w="80" w:type="dxa"/>
              <w:left w:w="120" w:type="dxa"/>
              <w:right w:w="120" w:type="dxa"/>
            </w:tcMar>
          </w:tcPr>
          <w:p>
            <w:pPr>
              <w:spacing w:before="0" w:after="0"/>
            </w:pPr>
            <w:r>
              <w:rPr>
                <w:rFonts w:ascii="Calibri" w:hAnsi="Calibri"/>
                <w:color w:val="2D3748"/>
                <w:sz w:val="19"/>
              </w:rPr>
              <w:t>Pure JS SHA-256 (RFC 6234)</w:t>
            </w:r>
          </w:p>
        </w:tc>
        <w:tc>
          <w:tcPr>
            <w:tcW w:type="dxa" w:w="4320"/>
            <w:shd w:fill="FFFFFF"/>
            <w:tcMar>
              <w:top w:w="80" w:type="dxa"/>
              <w:bottom w:w="80" w:type="dxa"/>
              <w:left w:w="120" w:type="dxa"/>
              <w:right w:w="120" w:type="dxa"/>
            </w:tcMar>
          </w:tcPr>
          <w:p>
            <w:pPr>
              <w:spacing w:before="0" w:after="0"/>
            </w:pPr>
            <w:r>
              <w:rPr>
                <w:rFonts w:ascii="Calibri" w:hAnsi="Calibri"/>
                <w:color w:val="2D3748"/>
                <w:sz w:val="19"/>
              </w:rPr>
              <w:t>Synchronous, deterministic computation verified against standard NIST test vectors.</w:t>
            </w:r>
          </w:p>
        </w:tc>
      </w:tr>
      <w:tr>
        <w:tc>
          <w:tcPr>
            <w:tcW w:type="dxa" w:w="2160"/>
            <w:shd w:fill="F7FAFC"/>
            <w:tcMar>
              <w:top w:w="80" w:type="dxa"/>
              <w:bottom w:w="80" w:type="dxa"/>
              <w:left w:w="120" w:type="dxa"/>
              <w:right w:w="120" w:type="dxa"/>
            </w:tcMar>
          </w:tcPr>
          <w:p>
            <w:pPr>
              <w:spacing w:before="0" w:after="0"/>
            </w:pPr>
            <w:r>
              <w:rPr>
                <w:rFonts w:ascii="Calibri" w:hAnsi="Calibri"/>
                <w:color w:val="2D3748"/>
                <w:sz w:val="19"/>
              </w:rPr>
              <w:t>Randomness</w:t>
            </w:r>
          </w:p>
        </w:tc>
        <w:tc>
          <w:tcPr>
            <w:tcW w:type="dxa" w:w="2880"/>
            <w:shd w:fill="F7FAFC"/>
            <w:tcMar>
              <w:top w:w="80" w:type="dxa"/>
              <w:bottom w:w="80" w:type="dxa"/>
              <w:left w:w="120" w:type="dxa"/>
              <w:right w:w="120" w:type="dxa"/>
            </w:tcMar>
          </w:tcPr>
          <w:p>
            <w:pPr>
              <w:spacing w:before="0" w:after="0"/>
            </w:pPr>
            <w:r>
              <w:rPr>
                <w:rFonts w:ascii="Calibri" w:hAnsi="Calibri"/>
                <w:color w:val="2D3748"/>
                <w:sz w:val="19"/>
              </w:rPr>
              <w:t>window.crypto.getRandomValues()</w:t>
            </w:r>
          </w:p>
        </w:tc>
        <w:tc>
          <w:tcPr>
            <w:tcW w:type="dxa" w:w="4320"/>
            <w:shd w:fill="F7FAFC"/>
            <w:tcMar>
              <w:top w:w="80" w:type="dxa"/>
              <w:bottom w:w="80" w:type="dxa"/>
              <w:left w:w="120" w:type="dxa"/>
              <w:right w:w="120" w:type="dxa"/>
            </w:tcMar>
          </w:tcPr>
          <w:p>
            <w:pPr>
              <w:spacing w:before="0" w:after="0"/>
            </w:pPr>
            <w:r>
              <w:rPr>
                <w:rFonts w:ascii="Calibri" w:hAnsi="Calibri"/>
                <w:color w:val="2D3748"/>
                <w:sz w:val="19"/>
              </w:rPr>
              <w:t>Cryptographically Secure Pseudo-Random Number Generator (CSPRNG) for keys.</w:t>
            </w:r>
          </w:p>
        </w:tc>
      </w:tr>
    </w:tbl>
    <w:p>
      <w:pPr>
        <w:spacing w:after="120"/>
      </w:pPr>
    </w:p>
    <w:p>
      <w:pPr>
        <w:keepNext/>
        <w:spacing w:before="320" w:after="120"/>
      </w:pPr>
      <w:r>
        <w:rPr>
          <w:rFonts w:ascii="Calibri" w:hAnsi="Calibri"/>
          <w:b/>
          <w:color w:val="1B365D"/>
          <w:sz w:val="32"/>
        </w:rPr>
        <w:t>3. Detailed Module-by-Module Technical Breakdown</w:t>
      </w:r>
    </w:p>
    <w:p>
      <w:pPr>
        <w:keepNext/>
        <w:spacing w:before="240" w:after="80"/>
      </w:pPr>
      <w:r>
        <w:rPr>
          <w:rFonts w:ascii="Calibri" w:hAnsi="Calibri"/>
          <w:b/>
          <w:color w:val="2B6CB0"/>
          <w:sz w:val="26"/>
        </w:rPr>
        <w:t>Module 01: Hash Lab &amp; Avalanche Effect</w:t>
      </w:r>
    </w:p>
    <w:p>
      <w:r>
        <w:t>Module 01 provides an interactive laboratory for cryptographic hashing. Every character typed into the user input field triggers an instantaneous recalculation of its 256-bit SHA-256 digest.</w:t>
      </w:r>
    </w:p>
    <w:p>
      <w:r>
        <w:t>A critical educational feature is the Avalanche Effect Comparator. The interface maintains a reference hash (representing a single-character perturbation of the input string) and performs an element-wise comparison across all 64 hexadecimal characters. The interface highlights altered nibbles in real-time and computes the exact percentage divergence, proving to students that changing a single bit produces a pseudo-random, unpredictable ~50% change across the entire digest.</w:t>
      </w:r>
    </w:p>
    <w:p>
      <w:pPr>
        <w:keepNext/>
        <w:spacing w:before="240" w:after="80"/>
      </w:pPr>
      <w:r>
        <w:rPr>
          <w:rFonts w:ascii="Calibri" w:hAnsi="Calibri"/>
          <w:b/>
          <w:color w:val="2B6CB0"/>
          <w:sz w:val="26"/>
        </w:rPr>
        <w:t>Module 02: Block &amp; Chain Builder</w:t>
      </w:r>
    </w:p>
    <w:p>
      <w:r>
        <w:t>Module 02 visualizes sequential block linking via cryptographic hash pointers. The underlying data model tracks an array of JavaScript block objects:</w:t>
      </w:r>
    </w:p>
    <w:tbl>
      <w:tblPr>
        <w:tblW w:type="auto" w:w="0"/>
        <w:jc w:val="center"/>
        <w:tblLook w:firstColumn="1" w:firstRow="1" w:lastColumn="0" w:lastRow="0" w:noHBand="0" w:noVBand="1" w:val="04A0"/>
      </w:tblPr>
      <w:tblGrid>
        <w:gridCol w:w="9360"/>
      </w:tblGrid>
      <w:tr>
        <w:tc>
          <w:tcPr>
            <w:tcW w:type="dxa" w:w="9360"/>
            <w:shd w:fill="F1F5F9"/>
            <w:tcMar>
              <w:top w:w="120" w:type="dxa"/>
              <w:bottom w:w="120" w:type="dxa"/>
              <w:left w:w="180" w:type="dxa"/>
              <w:right w:w="180" w:type="dxa"/>
            </w:tcMar>
          </w:tcPr>
          <w:p>
            <w:pPr>
              <w:spacing w:before="0" w:after="0" w:line="264" w:lineRule="auto"/>
            </w:pPr>
            <w:r>
              <w:rPr>
                <w:rFonts w:ascii="Consolas" w:hAnsi="Consolas"/>
                <w:color w:val="1E293B"/>
                <w:sz w:val="19"/>
              </w:rPr>
              <w:t>class Block {</w:t>
              <w:br/>
              <w:t xml:space="preserve">    constructor(index, timestamp, data, previousHash, nonce) {</w:t>
              <w:br/>
              <w:t xml:space="preserve">        this.index = index;</w:t>
              <w:br/>
              <w:t xml:space="preserve">        this.timestamp = timestamp;</w:t>
              <w:br/>
              <w:t xml:space="preserve">        this.data = data;</w:t>
              <w:br/>
              <w:t xml:space="preserve">        this.previousHash = previousHash;</w:t>
              <w:br/>
              <w:t xml:space="preserve">        this.nonce = nonce;</w:t>
              <w:br/>
              <w:t xml:space="preserve">        this.hash = this.calculateHash();</w:t>
              <w:br/>
              <w:t xml:space="preserve">    }</w:t>
              <w:br/>
              <w:t>}</w:t>
            </w:r>
          </w:p>
        </w:tc>
      </w:tr>
    </w:tbl>
    <w:p>
      <w:pPr>
        <w:spacing w:after="80"/>
      </w:pPr>
    </w:p>
    <w:p>
      <w:r>
        <w:t>When a user modifies the data payload of any block (e.g., changing 'Alice -&gt; Bob 5 BTC' to 'Alice -&gt; Attacker 50 BTC'), the block's current hash immediately diverges from its stored header. The engine detects this mismatch and propagates an invalid state flag (`.invalid`) to all downstream blocks, turning them red. This demonstrates why modifying historic records in a blockchain requires re-computing every subsequent block.</w:t>
      </w:r>
    </w:p>
    <w:p>
      <w:pPr>
        <w:keepNext/>
        <w:spacing w:before="240" w:after="80"/>
      </w:pPr>
      <w:r>
        <w:rPr>
          <w:rFonts w:ascii="Calibri" w:hAnsi="Calibri"/>
          <w:b/>
          <w:color w:val="2B6CB0"/>
          <w:sz w:val="26"/>
        </w:rPr>
        <w:t>Module 03: Mining Simulator (Proof of Work)</w:t>
      </w:r>
    </w:p>
    <w:p>
      <w:r>
        <w:t>Module 03 simulates Bitcoin's Proof-of-Work consensus. Users configure an adjustable difficulty target D from 1 to 5. The target condition requires the computed block hash to begin with D hexadecimal zeros.</w:t>
      </w:r>
    </w:p>
    <w:p>
      <w:r>
        <w:t>The mining loop runs asynchronously using `requestAnimationFrame`, preventing the browser UI thread from freezing. Learners observe the nonce incrementing rapidly, while a dynamic metrics dashboard tracks elapsed time, total attempts, and instantaneous hash rate (Hashes/sec). This concretely demonstrates why mining difficulty scales exponentially (16^D) and why high-difficulty mining demands dedicated hardware.</w:t>
      </w:r>
    </w:p>
    <w:p>
      <w:pPr>
        <w:keepNext/>
        <w:spacing w:before="240" w:after="80"/>
      </w:pPr>
      <w:r>
        <w:rPr>
          <w:rFonts w:ascii="Calibri" w:hAnsi="Calibri"/>
          <w:b/>
          <w:color w:val="2B6CB0"/>
          <w:sz w:val="26"/>
        </w:rPr>
        <w:t>Module 04: Proof of Stake (PoS) Demo</w:t>
      </w:r>
    </w:p>
    <w:p>
      <w:r>
        <w:t>Module 04 models the energy-efficient alternative to Proof of Work. The simulation populates a network of validators (Alice, Bob, Charlie, Dave) with asymmetric stake allocations. Block proposal rights are awarded using a cumulative stake-weighted pseudo-random distribution.</w:t>
      </w:r>
    </w:p>
    <w:p>
      <w:r>
        <w:t>Students can run single step epochs or trigger a batch run of 100 consecutive rounds. An aggregate statistics table compares the empirical win distribution against theoretical probability, demonstrating the Law of Large Numbers in staking pools. A dedicated '51% Stake Attack' scenario demonstrates the threshold at which a single malicious entity can monopolize block creation.</w:t>
      </w:r>
    </w:p>
    <w:p>
      <w:pPr>
        <w:keepNext/>
        <w:spacing w:before="240" w:after="80"/>
      </w:pPr>
      <w:r>
        <w:rPr>
          <w:rFonts w:ascii="Calibri" w:hAnsi="Calibri"/>
          <w:b/>
          <w:color w:val="2B6CB0"/>
          <w:sz w:val="26"/>
        </w:rPr>
        <w:t>Module 05: Wallet &amp; Cryptographic Keys</w:t>
      </w:r>
    </w:p>
    <w:p>
      <w:r>
        <w:t>Module 05 demystifies the asymmetric key derivation hierarchy used in cryptocurrency wallets. It visualizes the pipeline:</w:t>
      </w:r>
    </w:p>
    <w:p>
      <w:r>
        <w:t>Private Key (256-bit entropy via CSPRNG)  --&gt;  Public Key (One-way derivation)  --&gt;  Wallet Address</w:t>
      </w:r>
    </w:p>
    <w:p>
      <w:r>
        <w:t>The visualizer explicitly highlights the trapdoor property: computing the public key and address from a private key is computationally trivial, whereas deriving the private key from a known address or public key is computationally infeasible. An educational callout notes the simplification used (SHA-256 derivation vs. production Bitcoin secp256k1 ECDSA + RIPEMD-160).</w:t>
      </w:r>
    </w:p>
    <w:p>
      <w:pPr>
        <w:keepNext/>
        <w:spacing w:before="240" w:after="80"/>
      </w:pPr>
      <w:r>
        <w:rPr>
          <w:rFonts w:ascii="Calibri" w:hAnsi="Calibri"/>
          <w:b/>
          <w:color w:val="2B6CB0"/>
          <w:sz w:val="26"/>
        </w:rPr>
        <w:t>Module 06: Transactions &amp; Double-Spend Resolution</w:t>
      </w:r>
    </w:p>
    <w:p>
      <w:r>
        <w:t>Module 06 tackles the fundamental problem that blockchain was invented to solve: double spending in a trustless environment. Users can execute standard peer-to-peer balance transfers between registered accounts, with digital signatures verified before ledger inclusion.</w:t>
      </w:r>
    </w:p>
    <w:p>
      <w:r>
        <w:t>In Attack Mode, the system simulates a race attack where Alice attempts to broadcast two conflicting transactions simultaneously: one paying Merchant Bob for goods, and a competing transaction returning the same funds to Alice's secondary wallet. The simulation reveals how mempool propagation and subsequent block confirmation depth lock the transaction into canonical history, rendering the fraudulent transaction invalid.</w:t>
      </w:r>
    </w:p>
    <w:p>
      <w:pPr>
        <w:keepNext/>
        <w:spacing w:before="320" w:after="120"/>
      </w:pPr>
      <w:r>
        <w:rPr>
          <w:rFonts w:ascii="Calibri" w:hAnsi="Calibri"/>
          <w:b/>
          <w:color w:val="1B365D"/>
          <w:sz w:val="32"/>
        </w:rPr>
        <w:t>4. Performance Refactoring &amp; UX Optimization Audit</w:t>
      </w:r>
    </w:p>
    <w:p>
      <w:r>
        <w:t>In previous revisions, the application suffered from notable frame drops, cursor stutter, and scroll lag. A comprehensive profiling audit was conducted using browser performance diagnostics, leading to the complete removal of unoptimized animation libraries and continuous rendering loops.</w:t>
      </w:r>
    </w:p>
    <w:tbl>
      <w:tblPr>
        <w:tblW w:type="auto" w:w="0"/>
        <w:jc w:val="center"/>
        <w:tblLook w:firstColumn="1" w:firstRow="1" w:lastColumn="0" w:lastRow="0" w:noHBand="0" w:noVBand="1" w:val="04A0"/>
      </w:tblPr>
      <w:tblGrid>
        <w:gridCol w:w="2340"/>
        <w:gridCol w:w="2340"/>
        <w:gridCol w:w="2340"/>
        <w:gridCol w:w="2340"/>
      </w:tblGrid>
      <w:tr>
        <w:tc>
          <w:tcPr>
            <w:tcW w:type="dxa" w:w="1872"/>
            <w:shd w:fill="2B6CB0"/>
            <w:tcMar>
              <w:top w:w="100" w:type="dxa"/>
              <w:bottom w:w="100" w:type="dxa"/>
              <w:left w:w="120" w:type="dxa"/>
              <w:right w:w="120" w:type="dxa"/>
            </w:tcMar>
          </w:tcPr>
          <w:p>
            <w:pPr>
              <w:spacing w:before="0" w:after="0"/>
            </w:pPr>
            <w:r>
              <w:rPr>
                <w:rFonts w:ascii="Calibri" w:hAnsi="Calibri"/>
                <w:b/>
                <w:color w:val="FFFFFF"/>
                <w:sz w:val="20"/>
              </w:rPr>
              <w:t>Audit Area</w:t>
            </w:r>
          </w:p>
        </w:tc>
        <w:tc>
          <w:tcPr>
            <w:tcW w:type="dxa" w:w="2592"/>
            <w:shd w:fill="2B6CB0"/>
            <w:tcMar>
              <w:top w:w="100" w:type="dxa"/>
              <w:bottom w:w="100" w:type="dxa"/>
              <w:left w:w="120" w:type="dxa"/>
              <w:right w:w="120" w:type="dxa"/>
            </w:tcMar>
          </w:tcPr>
          <w:p>
            <w:pPr>
              <w:spacing w:before="0" w:after="0"/>
            </w:pPr>
            <w:r>
              <w:rPr>
                <w:rFonts w:ascii="Calibri" w:hAnsi="Calibri"/>
                <w:b/>
                <w:color w:val="FFFFFF"/>
                <w:sz w:val="20"/>
              </w:rPr>
              <w:t>Legacy State (Lag Inducing)</w:t>
            </w:r>
          </w:p>
        </w:tc>
        <w:tc>
          <w:tcPr>
            <w:tcW w:type="dxa" w:w="2592"/>
            <w:shd w:fill="2B6CB0"/>
            <w:tcMar>
              <w:top w:w="100" w:type="dxa"/>
              <w:bottom w:w="100" w:type="dxa"/>
              <w:left w:w="120" w:type="dxa"/>
              <w:right w:w="120" w:type="dxa"/>
            </w:tcMar>
          </w:tcPr>
          <w:p>
            <w:pPr>
              <w:spacing w:before="0" w:after="0"/>
            </w:pPr>
            <w:r>
              <w:rPr>
                <w:rFonts w:ascii="Calibri" w:hAnsi="Calibri"/>
                <w:b/>
                <w:color w:val="FFFFFF"/>
                <w:sz w:val="20"/>
              </w:rPr>
              <w:t>Optimized State (Current v2.1)</w:t>
            </w:r>
          </w:p>
        </w:tc>
        <w:tc>
          <w:tcPr>
            <w:tcW w:type="dxa" w:w="2304"/>
            <w:shd w:fill="2B6CB0"/>
            <w:tcMar>
              <w:top w:w="100" w:type="dxa"/>
              <w:bottom w:w="100" w:type="dxa"/>
              <w:left w:w="120" w:type="dxa"/>
              <w:right w:w="120" w:type="dxa"/>
            </w:tcMar>
          </w:tcPr>
          <w:p>
            <w:pPr>
              <w:spacing w:before="0" w:after="0"/>
            </w:pPr>
            <w:r>
              <w:rPr>
                <w:rFonts w:ascii="Calibri" w:hAnsi="Calibri"/>
                <w:b/>
                <w:color w:val="FFFFFF"/>
                <w:sz w:val="20"/>
              </w:rPr>
              <w:t>Measurable Impact</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9"/>
              </w:rPr>
              <w:t>Scroll Engine</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Lenis virtual smooth-scroll hijacking wheel events</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Native browser hardware-accelerated scrolling</w:t>
            </w:r>
          </w:p>
        </w:tc>
        <w:tc>
          <w:tcPr>
            <w:tcW w:type="dxa" w:w="2304"/>
            <w:shd w:fill="FFFFFF"/>
            <w:tcMar>
              <w:top w:w="80" w:type="dxa"/>
              <w:bottom w:w="80" w:type="dxa"/>
              <w:left w:w="120" w:type="dxa"/>
              <w:right w:w="120" w:type="dxa"/>
            </w:tcMar>
          </w:tcPr>
          <w:p>
            <w:pPr>
              <w:spacing w:before="0" w:after="0"/>
            </w:pPr>
            <w:r>
              <w:rPr>
                <w:rFonts w:ascii="Calibri" w:hAnsi="Calibri"/>
                <w:color w:val="2D3748"/>
                <w:sz w:val="19"/>
              </w:rPr>
              <w:t>0ms input latency; eliminates scroll stutter entirely.</w:t>
            </w:r>
          </w:p>
        </w:tc>
      </w:tr>
      <w:tr>
        <w:tc>
          <w:tcPr>
            <w:tcW w:type="dxa" w:w="1872"/>
            <w:shd w:fill="F7FAFC"/>
            <w:tcMar>
              <w:top w:w="80" w:type="dxa"/>
              <w:bottom w:w="80" w:type="dxa"/>
              <w:left w:w="120" w:type="dxa"/>
              <w:right w:w="120" w:type="dxa"/>
            </w:tcMar>
          </w:tcPr>
          <w:p>
            <w:pPr>
              <w:spacing w:before="0" w:after="0"/>
            </w:pPr>
            <w:r>
              <w:rPr>
                <w:rFonts w:ascii="Calibri" w:hAnsi="Calibri"/>
                <w:color w:val="2D3748"/>
                <w:sz w:val="19"/>
              </w:rPr>
              <w:t>Background Canvases</w:t>
            </w:r>
          </w:p>
        </w:tc>
        <w:tc>
          <w:tcPr>
            <w:tcW w:type="dxa" w:w="2592"/>
            <w:shd w:fill="F7FAFC"/>
            <w:tcMar>
              <w:top w:w="80" w:type="dxa"/>
              <w:bottom w:w="80" w:type="dxa"/>
              <w:left w:w="120" w:type="dxa"/>
              <w:right w:w="120" w:type="dxa"/>
            </w:tcMar>
          </w:tcPr>
          <w:p>
            <w:pPr>
              <w:spacing w:before="0" w:after="0"/>
            </w:pPr>
            <w:r>
              <w:rPr>
                <w:rFonts w:ascii="Calibri" w:hAnsi="Calibri"/>
                <w:color w:val="2D3748"/>
                <w:sz w:val="19"/>
              </w:rPr>
              <w:t>Dual 2D canvas loops (particles + grid ticker)</w:t>
            </w:r>
          </w:p>
        </w:tc>
        <w:tc>
          <w:tcPr>
            <w:tcW w:type="dxa" w:w="2592"/>
            <w:shd w:fill="F7FAFC"/>
            <w:tcMar>
              <w:top w:w="80" w:type="dxa"/>
              <w:bottom w:w="80" w:type="dxa"/>
              <w:left w:w="120" w:type="dxa"/>
              <w:right w:w="120" w:type="dxa"/>
            </w:tcMar>
          </w:tcPr>
          <w:p>
            <w:pPr>
              <w:spacing w:before="0" w:after="0"/>
            </w:pPr>
            <w:r>
              <w:rPr>
                <w:rFonts w:ascii="Calibri" w:hAnsi="Calibri"/>
                <w:color w:val="2D3748"/>
                <w:sz w:val="19"/>
              </w:rPr>
              <w:t>Clean, lightweight CSS radial gradient</w:t>
            </w:r>
          </w:p>
        </w:tc>
        <w:tc>
          <w:tcPr>
            <w:tcW w:type="dxa" w:w="2304"/>
            <w:shd w:fill="F7FAFC"/>
            <w:tcMar>
              <w:top w:w="80" w:type="dxa"/>
              <w:bottom w:w="80" w:type="dxa"/>
              <w:left w:w="120" w:type="dxa"/>
              <w:right w:w="120" w:type="dxa"/>
            </w:tcMar>
          </w:tcPr>
          <w:p>
            <w:pPr>
              <w:spacing w:before="0" w:after="0"/>
            </w:pPr>
            <w:r>
              <w:rPr>
                <w:rFonts w:ascii="Calibri" w:hAnsi="Calibri"/>
                <w:color w:val="2D3748"/>
                <w:sz w:val="19"/>
              </w:rPr>
              <w:t>Idle CPU/GPU load reduced from ~18% to 0%.</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9"/>
              </w:rPr>
              <w:t>Card Interactions</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Heavy 3D matrix tilt transforms on mousemove</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Clean CSS hover transitions (transform: translateY)</w:t>
            </w:r>
          </w:p>
        </w:tc>
        <w:tc>
          <w:tcPr>
            <w:tcW w:type="dxa" w:w="2304"/>
            <w:shd w:fill="FFFFFF"/>
            <w:tcMar>
              <w:top w:w="80" w:type="dxa"/>
              <w:bottom w:w="80" w:type="dxa"/>
              <w:left w:w="120" w:type="dxa"/>
              <w:right w:w="120" w:type="dxa"/>
            </w:tcMar>
          </w:tcPr>
          <w:p>
            <w:pPr>
              <w:spacing w:before="0" w:after="0"/>
            </w:pPr>
            <w:r>
              <w:rPr>
                <w:rFonts w:ascii="Calibri" w:hAnsi="Calibri"/>
                <w:color w:val="2D3748"/>
                <w:sz w:val="19"/>
              </w:rPr>
              <w:t>Eliminates continuous composite thread recalculations.</w:t>
            </w:r>
          </w:p>
        </w:tc>
      </w:tr>
      <w:tr>
        <w:tc>
          <w:tcPr>
            <w:tcW w:type="dxa" w:w="1872"/>
            <w:shd w:fill="F7FAFC"/>
            <w:tcMar>
              <w:top w:w="80" w:type="dxa"/>
              <w:bottom w:w="80" w:type="dxa"/>
              <w:left w:w="120" w:type="dxa"/>
              <w:right w:w="120" w:type="dxa"/>
            </w:tcMar>
          </w:tcPr>
          <w:p>
            <w:pPr>
              <w:spacing w:before="0" w:after="0"/>
            </w:pPr>
            <w:r>
              <w:rPr>
                <w:rFonts w:ascii="Calibri" w:hAnsi="Calibri"/>
                <w:color w:val="2D3748"/>
                <w:sz w:val="19"/>
              </w:rPr>
              <w:t>Visual Aesthetic</w:t>
            </w:r>
          </w:p>
        </w:tc>
        <w:tc>
          <w:tcPr>
            <w:tcW w:type="dxa" w:w="2592"/>
            <w:shd w:fill="F7FAFC"/>
            <w:tcMar>
              <w:top w:w="80" w:type="dxa"/>
              <w:bottom w:w="80" w:type="dxa"/>
              <w:left w:w="120" w:type="dxa"/>
              <w:right w:w="120" w:type="dxa"/>
            </w:tcMar>
          </w:tcPr>
          <w:p>
            <w:pPr>
              <w:spacing w:before="0" w:after="0"/>
            </w:pPr>
            <w:r>
              <w:rPr>
                <w:rFonts w:ascii="Calibri" w:hAnsi="Calibri"/>
                <w:color w:val="2D3748"/>
                <w:sz w:val="19"/>
              </w:rPr>
              <w:t>Low-contrast dark neon (indigo/gold on black)</w:t>
            </w:r>
          </w:p>
        </w:tc>
        <w:tc>
          <w:tcPr>
            <w:tcW w:type="dxa" w:w="2592"/>
            <w:shd w:fill="F7FAFC"/>
            <w:tcMar>
              <w:top w:w="80" w:type="dxa"/>
              <w:bottom w:w="80" w:type="dxa"/>
              <w:left w:w="120" w:type="dxa"/>
              <w:right w:w="120" w:type="dxa"/>
            </w:tcMar>
          </w:tcPr>
          <w:p>
            <w:pPr>
              <w:spacing w:before="0" w:after="0"/>
            </w:pPr>
            <w:r>
              <w:rPr>
                <w:rFonts w:ascii="Calibri" w:hAnsi="Calibri"/>
                <w:color w:val="2D3748"/>
                <w:sz w:val="19"/>
              </w:rPr>
              <w:t>Clean Academic Light Theme (#F8F9FC &amp; #1E293B)</w:t>
            </w:r>
          </w:p>
        </w:tc>
        <w:tc>
          <w:tcPr>
            <w:tcW w:type="dxa" w:w="2304"/>
            <w:shd w:fill="F7FAFC"/>
            <w:tcMar>
              <w:top w:w="80" w:type="dxa"/>
              <w:bottom w:w="80" w:type="dxa"/>
              <w:left w:w="120" w:type="dxa"/>
              <w:right w:w="120" w:type="dxa"/>
            </w:tcMar>
          </w:tcPr>
          <w:p>
            <w:pPr>
              <w:spacing w:before="0" w:after="0"/>
            </w:pPr>
            <w:r>
              <w:rPr>
                <w:rFonts w:ascii="Calibri" w:hAnsi="Calibri"/>
                <w:color w:val="2D3748"/>
                <w:sz w:val="19"/>
              </w:rPr>
              <w:t>Exceeds WCAG AAA contrast ratio standards.</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9"/>
              </w:rPr>
              <w:t>DOM Reflows</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Full innerHTML string reconstruction per keystroke</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Targeted DOM node value updates</w:t>
            </w:r>
          </w:p>
        </w:tc>
        <w:tc>
          <w:tcPr>
            <w:tcW w:type="dxa" w:w="2304"/>
            <w:shd w:fill="FFFFFF"/>
            <w:tcMar>
              <w:top w:w="80" w:type="dxa"/>
              <w:bottom w:w="80" w:type="dxa"/>
              <w:left w:w="120" w:type="dxa"/>
              <w:right w:w="120" w:type="dxa"/>
            </w:tcMar>
          </w:tcPr>
          <w:p>
            <w:pPr>
              <w:spacing w:before="0" w:after="0"/>
            </w:pPr>
            <w:r>
              <w:rPr>
                <w:rFonts w:ascii="Calibri" w:hAnsi="Calibri"/>
                <w:color w:val="2D3748"/>
                <w:sz w:val="19"/>
              </w:rPr>
              <w:t>Maintains rock-solid 60 - 120 FPS during all interactions.</w:t>
            </w:r>
          </w:p>
        </w:tc>
      </w:tr>
    </w:tbl>
    <w:p>
      <w:pPr>
        <w:spacing w:after="120"/>
      </w:pPr>
    </w:p>
    <w:p>
      <w:pPr>
        <w:keepNext/>
        <w:spacing w:before="320" w:after="120"/>
      </w:pPr>
      <w:r>
        <w:rPr>
          <w:rFonts w:ascii="Calibri" w:hAnsi="Calibri"/>
          <w:b/>
          <w:color w:val="1B365D"/>
          <w:sz w:val="32"/>
        </w:rPr>
        <w:t>5. Academic Syllabus Alignment Matrix (CSB24PCC452)</w:t>
      </w:r>
    </w:p>
    <w:p>
      <w:r>
        <w:t>The visualizer was designed to map directly to the four academic units defined in the syllabus for the Blockchain course (CSB24PCC452) at MGM University:</w:t>
      </w:r>
    </w:p>
    <w:tbl>
      <w:tblPr>
        <w:tblW w:type="auto" w:w="0"/>
        <w:jc w:val="center"/>
        <w:tblLook w:firstColumn="1" w:firstRow="1" w:lastColumn="0" w:lastRow="0" w:noHBand="0" w:noVBand="1" w:val="04A0"/>
      </w:tblPr>
      <w:tblGrid>
        <w:gridCol w:w="2340"/>
        <w:gridCol w:w="2340"/>
        <w:gridCol w:w="2340"/>
        <w:gridCol w:w="2340"/>
      </w:tblGrid>
      <w:tr>
        <w:tc>
          <w:tcPr>
            <w:tcW w:type="dxa" w:w="1872"/>
            <w:shd w:fill="2B6CB0"/>
            <w:tcMar>
              <w:top w:w="100" w:type="dxa"/>
              <w:bottom w:w="100" w:type="dxa"/>
              <w:left w:w="120" w:type="dxa"/>
              <w:right w:w="120" w:type="dxa"/>
            </w:tcMar>
          </w:tcPr>
          <w:p>
            <w:pPr>
              <w:spacing w:before="0" w:after="0"/>
            </w:pPr>
            <w:r>
              <w:rPr>
                <w:rFonts w:ascii="Calibri" w:hAnsi="Calibri"/>
                <w:b/>
                <w:color w:val="FFFFFF"/>
                <w:sz w:val="20"/>
              </w:rPr>
              <w:t>Unit</w:t>
            </w:r>
          </w:p>
        </w:tc>
        <w:tc>
          <w:tcPr>
            <w:tcW w:type="dxa" w:w="2448"/>
            <w:shd w:fill="2B6CB0"/>
            <w:tcMar>
              <w:top w:w="100" w:type="dxa"/>
              <w:bottom w:w="100" w:type="dxa"/>
              <w:left w:w="120" w:type="dxa"/>
              <w:right w:w="120" w:type="dxa"/>
            </w:tcMar>
          </w:tcPr>
          <w:p>
            <w:pPr>
              <w:spacing w:before="0" w:after="0"/>
            </w:pPr>
            <w:r>
              <w:rPr>
                <w:rFonts w:ascii="Calibri" w:hAnsi="Calibri"/>
                <w:b/>
                <w:color w:val="FFFFFF"/>
                <w:sz w:val="20"/>
              </w:rPr>
              <w:t>Curriculum Topic</w:t>
            </w:r>
          </w:p>
        </w:tc>
        <w:tc>
          <w:tcPr>
            <w:tcW w:type="dxa" w:w="2592"/>
            <w:shd w:fill="2B6CB0"/>
            <w:tcMar>
              <w:top w:w="100" w:type="dxa"/>
              <w:bottom w:w="100" w:type="dxa"/>
              <w:left w:w="120" w:type="dxa"/>
              <w:right w:w="120" w:type="dxa"/>
            </w:tcMar>
          </w:tcPr>
          <w:p>
            <w:pPr>
              <w:spacing w:before="0" w:after="0"/>
            </w:pPr>
            <w:r>
              <w:rPr>
                <w:rFonts w:ascii="Calibri" w:hAnsi="Calibri"/>
                <w:b/>
                <w:color w:val="FFFFFF"/>
                <w:sz w:val="20"/>
              </w:rPr>
              <w:t>Mapped Visualizer Feature</w:t>
            </w:r>
          </w:p>
        </w:tc>
        <w:tc>
          <w:tcPr>
            <w:tcW w:type="dxa" w:w="2448"/>
            <w:shd w:fill="2B6CB0"/>
            <w:tcMar>
              <w:top w:w="100" w:type="dxa"/>
              <w:bottom w:w="100" w:type="dxa"/>
              <w:left w:w="120" w:type="dxa"/>
              <w:right w:w="120" w:type="dxa"/>
            </w:tcMar>
          </w:tcPr>
          <w:p>
            <w:pPr>
              <w:spacing w:before="0" w:after="0"/>
            </w:pPr>
            <w:r>
              <w:rPr>
                <w:rFonts w:ascii="Calibri" w:hAnsi="Calibri"/>
                <w:b/>
                <w:color w:val="FFFFFF"/>
                <w:sz w:val="20"/>
              </w:rPr>
              <w:t>Pedagogical Coverage</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9"/>
              </w:rPr>
              <w:t>Unit 1: Intro to Blockchain</w:t>
            </w:r>
          </w:p>
        </w:tc>
        <w:tc>
          <w:tcPr>
            <w:tcW w:type="dxa" w:w="2448"/>
            <w:shd w:fill="FFFFFF"/>
            <w:tcMar>
              <w:top w:w="80" w:type="dxa"/>
              <w:bottom w:w="80" w:type="dxa"/>
              <w:left w:w="120" w:type="dxa"/>
              <w:right w:w="120" w:type="dxa"/>
            </w:tcMar>
          </w:tcPr>
          <w:p>
            <w:pPr>
              <w:spacing w:before="0" w:after="0"/>
            </w:pPr>
            <w:r>
              <w:rPr>
                <w:rFonts w:ascii="Calibri" w:hAnsi="Calibri"/>
                <w:color w:val="2D3748"/>
                <w:sz w:val="19"/>
              </w:rPr>
              <w:t>Distributed systems, history, decentralization, immutability</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Module 02: Block &amp; Chain Builder</w:t>
            </w:r>
          </w:p>
        </w:tc>
        <w:tc>
          <w:tcPr>
            <w:tcW w:type="dxa" w:w="2448"/>
            <w:shd w:fill="FFFFFF"/>
            <w:tcMar>
              <w:top w:w="80" w:type="dxa"/>
              <w:bottom w:w="80" w:type="dxa"/>
              <w:left w:w="120" w:type="dxa"/>
              <w:right w:w="120" w:type="dxa"/>
            </w:tcMar>
          </w:tcPr>
          <w:p>
            <w:pPr>
              <w:spacing w:before="0" w:after="0"/>
            </w:pPr>
            <w:r>
              <w:rPr>
                <w:rFonts w:ascii="Calibri" w:hAnsi="Calibri"/>
                <w:color w:val="2D3748"/>
                <w:sz w:val="19"/>
              </w:rPr>
              <w:t>Tamper-evident chain invalidation shows why immutability arises from hashing.</w:t>
            </w:r>
          </w:p>
        </w:tc>
      </w:tr>
      <w:tr>
        <w:tc>
          <w:tcPr>
            <w:tcW w:type="dxa" w:w="1872"/>
            <w:shd w:fill="F7FAFC"/>
            <w:tcMar>
              <w:top w:w="80" w:type="dxa"/>
              <w:bottom w:w="80" w:type="dxa"/>
              <w:left w:w="120" w:type="dxa"/>
              <w:right w:w="120" w:type="dxa"/>
            </w:tcMar>
          </w:tcPr>
          <w:p>
            <w:pPr>
              <w:spacing w:before="0" w:after="0"/>
            </w:pPr>
            <w:r>
              <w:rPr>
                <w:rFonts w:ascii="Calibri" w:hAnsi="Calibri"/>
                <w:color w:val="2D3748"/>
                <w:sz w:val="19"/>
              </w:rPr>
              <w:t>Unit 2: Smart Ecosystem</w:t>
            </w:r>
          </w:p>
        </w:tc>
        <w:tc>
          <w:tcPr>
            <w:tcW w:type="dxa" w:w="2448"/>
            <w:shd w:fill="F7FAFC"/>
            <w:tcMar>
              <w:top w:w="80" w:type="dxa"/>
              <w:bottom w:w="80" w:type="dxa"/>
              <w:left w:w="120" w:type="dxa"/>
              <w:right w:w="120" w:type="dxa"/>
            </w:tcMar>
          </w:tcPr>
          <w:p>
            <w:pPr>
              <w:spacing w:before="0" w:after="0"/>
            </w:pPr>
            <w:r>
              <w:rPr>
                <w:rFonts w:ascii="Calibri" w:hAnsi="Calibri"/>
                <w:color w:val="2D3748"/>
                <w:sz w:val="19"/>
              </w:rPr>
              <w:t>Digital keys, addresses, transactions, mining basics</w:t>
            </w:r>
          </w:p>
        </w:tc>
        <w:tc>
          <w:tcPr>
            <w:tcW w:type="dxa" w:w="2592"/>
            <w:shd w:fill="F7FAFC"/>
            <w:tcMar>
              <w:top w:w="80" w:type="dxa"/>
              <w:bottom w:w="80" w:type="dxa"/>
              <w:left w:w="120" w:type="dxa"/>
              <w:right w:w="120" w:type="dxa"/>
            </w:tcMar>
          </w:tcPr>
          <w:p>
            <w:pPr>
              <w:spacing w:before="0" w:after="0"/>
            </w:pPr>
            <w:r>
              <w:rPr>
                <w:rFonts w:ascii="Calibri" w:hAnsi="Calibri"/>
                <w:color w:val="2D3748"/>
                <w:sz w:val="19"/>
              </w:rPr>
              <w:t>Module 05: Wallet &amp; Keys</w:t>
              <w:br/>
              <w:t>Module 06: Transactions</w:t>
            </w:r>
          </w:p>
        </w:tc>
        <w:tc>
          <w:tcPr>
            <w:tcW w:type="dxa" w:w="2448"/>
            <w:shd w:fill="F7FAFC"/>
            <w:tcMar>
              <w:top w:w="80" w:type="dxa"/>
              <w:bottom w:w="80" w:type="dxa"/>
              <w:left w:w="120" w:type="dxa"/>
              <w:right w:w="120" w:type="dxa"/>
            </w:tcMar>
          </w:tcPr>
          <w:p>
            <w:pPr>
              <w:spacing w:before="0" w:after="0"/>
            </w:pPr>
            <w:r>
              <w:rPr>
                <w:rFonts w:ascii="Calibri" w:hAnsi="Calibri"/>
                <w:color w:val="2D3748"/>
                <w:sz w:val="19"/>
              </w:rPr>
              <w:t>Hands-on key derivation and balance ledger transaction mechanics.</w:t>
            </w:r>
          </w:p>
        </w:tc>
      </w:tr>
      <w:tr>
        <w:tc>
          <w:tcPr>
            <w:tcW w:type="dxa" w:w="1872"/>
            <w:shd w:fill="FFFFFF"/>
            <w:tcMar>
              <w:top w:w="80" w:type="dxa"/>
              <w:bottom w:w="80" w:type="dxa"/>
              <w:left w:w="120" w:type="dxa"/>
              <w:right w:w="120" w:type="dxa"/>
            </w:tcMar>
          </w:tcPr>
          <w:p>
            <w:pPr>
              <w:spacing w:before="0" w:after="0"/>
            </w:pPr>
            <w:r>
              <w:rPr>
                <w:rFonts w:ascii="Calibri" w:hAnsi="Calibri"/>
                <w:color w:val="2D3748"/>
                <w:sz w:val="19"/>
              </w:rPr>
              <w:t>Unit 3: Architecture &amp; Bitcoin</w:t>
            </w:r>
          </w:p>
        </w:tc>
        <w:tc>
          <w:tcPr>
            <w:tcW w:type="dxa" w:w="2448"/>
            <w:shd w:fill="FFFFFF"/>
            <w:tcMar>
              <w:top w:w="80" w:type="dxa"/>
              <w:bottom w:w="80" w:type="dxa"/>
              <w:left w:w="120" w:type="dxa"/>
              <w:right w:w="120" w:type="dxa"/>
            </w:tcMar>
          </w:tcPr>
          <w:p>
            <w:pPr>
              <w:spacing w:before="0" w:after="0"/>
            </w:pPr>
            <w:r>
              <w:rPr>
                <w:rFonts w:ascii="Calibri" w:hAnsi="Calibri"/>
                <w:color w:val="2D3748"/>
                <w:sz w:val="19"/>
              </w:rPr>
              <w:t>Double spending, SHA-256, PoW, PoS, Bitcoin network</w:t>
            </w:r>
          </w:p>
        </w:tc>
        <w:tc>
          <w:tcPr>
            <w:tcW w:type="dxa" w:w="2592"/>
            <w:shd w:fill="FFFFFF"/>
            <w:tcMar>
              <w:top w:w="80" w:type="dxa"/>
              <w:bottom w:w="80" w:type="dxa"/>
              <w:left w:w="120" w:type="dxa"/>
              <w:right w:w="120" w:type="dxa"/>
            </w:tcMar>
          </w:tcPr>
          <w:p>
            <w:pPr>
              <w:spacing w:before="0" w:after="0"/>
            </w:pPr>
            <w:r>
              <w:rPr>
                <w:rFonts w:ascii="Calibri" w:hAnsi="Calibri"/>
                <w:color w:val="2D3748"/>
                <w:sz w:val="19"/>
              </w:rPr>
              <w:t>Module 01: Hash Lab</w:t>
              <w:br/>
              <w:t>Module 03: PoW Miner</w:t>
              <w:br/>
              <w:t>Module 04: PoS Demo</w:t>
            </w:r>
          </w:p>
        </w:tc>
        <w:tc>
          <w:tcPr>
            <w:tcW w:type="dxa" w:w="2448"/>
            <w:shd w:fill="FFFFFF"/>
            <w:tcMar>
              <w:top w:w="80" w:type="dxa"/>
              <w:bottom w:w="80" w:type="dxa"/>
              <w:left w:w="120" w:type="dxa"/>
              <w:right w:w="120" w:type="dxa"/>
            </w:tcMar>
          </w:tcPr>
          <w:p>
            <w:pPr>
              <w:spacing w:before="0" w:after="0"/>
            </w:pPr>
            <w:r>
              <w:rPr>
                <w:rFonts w:ascii="Calibri" w:hAnsi="Calibri"/>
                <w:color w:val="2D3748"/>
                <w:sz w:val="19"/>
              </w:rPr>
              <w:t>Exhaustive coverage: Avalanche effect, nonce search, stake lotteries, race attacks.</w:t>
            </w:r>
          </w:p>
        </w:tc>
      </w:tr>
      <w:tr>
        <w:tc>
          <w:tcPr>
            <w:tcW w:type="dxa" w:w="1872"/>
            <w:shd w:fill="F7FAFC"/>
            <w:tcMar>
              <w:top w:w="80" w:type="dxa"/>
              <w:bottom w:w="80" w:type="dxa"/>
              <w:left w:w="120" w:type="dxa"/>
              <w:right w:w="120" w:type="dxa"/>
            </w:tcMar>
          </w:tcPr>
          <w:p>
            <w:pPr>
              <w:spacing w:before="0" w:after="0"/>
            </w:pPr>
            <w:r>
              <w:rPr>
                <w:rFonts w:ascii="Calibri" w:hAnsi="Calibri"/>
                <w:color w:val="2D3748"/>
                <w:sz w:val="19"/>
              </w:rPr>
              <w:t>Unit 4: Blockchain Platforms</w:t>
            </w:r>
          </w:p>
        </w:tc>
        <w:tc>
          <w:tcPr>
            <w:tcW w:type="dxa" w:w="2448"/>
            <w:shd w:fill="F7FAFC"/>
            <w:tcMar>
              <w:top w:w="80" w:type="dxa"/>
              <w:bottom w:w="80" w:type="dxa"/>
              <w:left w:w="120" w:type="dxa"/>
              <w:right w:w="120" w:type="dxa"/>
            </w:tcMar>
          </w:tcPr>
          <w:p>
            <w:pPr>
              <w:spacing w:before="0" w:after="0"/>
            </w:pPr>
            <w:r>
              <w:rPr>
                <w:rFonts w:ascii="Calibri" w:hAnsi="Calibri"/>
                <w:color w:val="2D3748"/>
                <w:sz w:val="19"/>
              </w:rPr>
              <w:t>Ethereum, Hyperledger, smart contracts, dApps</w:t>
            </w:r>
          </w:p>
        </w:tc>
        <w:tc>
          <w:tcPr>
            <w:tcW w:type="dxa" w:w="2592"/>
            <w:shd w:fill="F7FAFC"/>
            <w:tcMar>
              <w:top w:w="80" w:type="dxa"/>
              <w:bottom w:w="80" w:type="dxa"/>
              <w:left w:w="120" w:type="dxa"/>
              <w:right w:w="120" w:type="dxa"/>
            </w:tcMar>
          </w:tcPr>
          <w:p>
            <w:pPr>
              <w:spacing w:before="0" w:after="0"/>
            </w:pPr>
            <w:r>
              <w:rPr>
                <w:rFonts w:ascii="Calibri" w:hAnsi="Calibri"/>
                <w:color w:val="2D3748"/>
                <w:sz w:val="19"/>
              </w:rPr>
              <w:t>Scoped for Version 2.0 Roadmap</w:t>
            </w:r>
          </w:p>
        </w:tc>
        <w:tc>
          <w:tcPr>
            <w:tcW w:type="dxa" w:w="2448"/>
            <w:shd w:fill="F7FAFC"/>
            <w:tcMar>
              <w:top w:w="80" w:type="dxa"/>
              <w:bottom w:w="80" w:type="dxa"/>
              <w:left w:w="120" w:type="dxa"/>
              <w:right w:w="120" w:type="dxa"/>
            </w:tcMar>
          </w:tcPr>
          <w:p>
            <w:pPr>
              <w:spacing w:before="0" w:after="0"/>
            </w:pPr>
            <w:r>
              <w:rPr>
                <w:rFonts w:ascii="Calibri" w:hAnsi="Calibri"/>
                <w:color w:val="2D3748"/>
                <w:sz w:val="19"/>
              </w:rPr>
              <w:t>Comparative consensus models and future smart contract execution runner.</w:t>
            </w:r>
          </w:p>
        </w:tc>
      </w:tr>
    </w:tbl>
    <w:p>
      <w:pPr>
        <w:spacing w:after="120"/>
      </w:pPr>
    </w:p>
    <w:p>
      <w:pPr>
        <w:keepNext/>
        <w:spacing w:before="320" w:after="120"/>
      </w:pPr>
      <w:r>
        <w:rPr>
          <w:rFonts w:ascii="Calibri" w:hAnsi="Calibri"/>
          <w:b/>
          <w:color w:val="1B365D"/>
          <w:sz w:val="32"/>
        </w:rPr>
        <w:t>6. Security Assessment &amp; Code Quality</w:t>
      </w:r>
    </w:p>
    <w:p>
      <w:r>
        <w:t>A rigorous static code audit of `blockchain_visualizer.html` was conducted to evaluate architectural cleanliness, defensive programming patterns, and security best practices.</w:t>
      </w:r>
    </w:p>
    <w:p>
      <w:pPr>
        <w:pStyle w:val="ListBullet"/>
      </w:pPr>
      <w:r>
        <w:rPr>
          <w:b/>
          <w:color w:val="1B365D"/>
        </w:rPr>
        <w:t xml:space="preserve">Zero Dynamic Evaluation (No eval): </w:t>
      </w:r>
      <w:r>
        <w:t>The entire codebase contains zero calls to eval() or dynamic Function constructors, completely mitigating runtime script injection risks.</w:t>
      </w:r>
    </w:p>
    <w:p>
      <w:pPr>
        <w:pStyle w:val="ListBullet"/>
      </w:pPr>
      <w:r>
        <w:rPr>
          <w:b/>
          <w:color w:val="1B365D"/>
        </w:rPr>
        <w:t xml:space="preserve">XSS Protection via HTML Escaping: </w:t>
      </w:r>
      <w:r>
        <w:t>All dynamic inputs from block data, transaction recipients, and ledger entries pass through a robust escapeHTML() sanitization utility prior to DOM injection.</w:t>
      </w:r>
    </w:p>
    <w:p>
      <w:pPr>
        <w:pStyle w:val="ListBullet"/>
      </w:pPr>
      <w:r>
        <w:rPr>
          <w:b/>
          <w:color w:val="1B365D"/>
        </w:rPr>
        <w:t xml:space="preserve">CSPRNG Randomness for Keys: </w:t>
      </w:r>
      <w:r>
        <w:t>Key generation leverages window.crypto.getRandomValues() to ensure high-entropy 256-bit private keys, adhering strictly to cryptographic standards.</w:t>
      </w:r>
    </w:p>
    <w:p>
      <w:pPr>
        <w:pStyle w:val="ListBullet"/>
      </w:pPr>
      <w:r>
        <w:rPr>
          <w:b/>
          <w:color w:val="1B365D"/>
        </w:rPr>
        <w:t xml:space="preserve">Strict Scoping &amp; Modularity: </w:t>
      </w:r>
      <w:r>
        <w:t>All module logic is encapsulated within clean function closures, minimizing global namespace pollution and preventing unintended variable collision.</w:t>
      </w:r>
    </w:p>
    <w:p>
      <w:pPr>
        <w:keepNext/>
        <w:spacing w:before="320" w:after="120"/>
      </w:pPr>
      <w:r>
        <w:rPr>
          <w:rFonts w:ascii="Calibri" w:hAnsi="Calibri"/>
          <w:b/>
          <w:color w:val="1B365D"/>
          <w:sz w:val="32"/>
        </w:rPr>
        <w:t>7. SWOT Analysis &amp; Evaluation Matrix</w:t>
      </w:r>
    </w:p>
    <w:tbl>
      <w:tblPr>
        <w:tblW w:type="auto" w:w="0"/>
        <w:jc w:val="center"/>
        <w:tblLook w:firstColumn="1" w:firstRow="1" w:lastColumn="0" w:lastRow="0" w:noHBand="0" w:noVBand="1" w:val="04A0"/>
      </w:tblPr>
      <w:tblGrid>
        <w:gridCol w:w="4680"/>
        <w:gridCol w:w="4680"/>
      </w:tblGrid>
      <w:tr>
        <w:tc>
          <w:tcPr>
            <w:tcW w:type="dxa" w:w="2592"/>
            <w:shd w:fill="2B6CB0"/>
            <w:tcMar>
              <w:top w:w="100" w:type="dxa"/>
              <w:bottom w:w="100" w:type="dxa"/>
              <w:left w:w="120" w:type="dxa"/>
              <w:right w:w="120" w:type="dxa"/>
            </w:tcMar>
          </w:tcPr>
          <w:p>
            <w:pPr>
              <w:spacing w:before="0" w:after="0"/>
            </w:pPr>
            <w:r>
              <w:rPr>
                <w:rFonts w:ascii="Calibri" w:hAnsi="Calibri"/>
                <w:b/>
                <w:color w:val="FFFFFF"/>
                <w:sz w:val="20"/>
              </w:rPr>
              <w:t>Category</w:t>
            </w:r>
          </w:p>
        </w:tc>
        <w:tc>
          <w:tcPr>
            <w:tcW w:type="dxa" w:w="6768"/>
            <w:shd w:fill="2B6CB0"/>
            <w:tcMar>
              <w:top w:w="100" w:type="dxa"/>
              <w:bottom w:w="100" w:type="dxa"/>
              <w:left w:w="120" w:type="dxa"/>
              <w:right w:w="120" w:type="dxa"/>
            </w:tcMar>
          </w:tcPr>
          <w:p>
            <w:pPr>
              <w:spacing w:before="0" w:after="0"/>
            </w:pPr>
            <w:r>
              <w:rPr>
                <w:rFonts w:ascii="Calibri" w:hAnsi="Calibri"/>
                <w:b/>
                <w:color w:val="FFFFFF"/>
                <w:sz w:val="20"/>
              </w:rPr>
              <w:t>Evaluation Points</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9"/>
              </w:rPr>
              <w:t>Strengths (S)</w:t>
            </w:r>
          </w:p>
        </w:tc>
        <w:tc>
          <w:tcPr>
            <w:tcW w:type="dxa" w:w="6768"/>
            <w:shd w:fill="FFFFFF"/>
            <w:tcMar>
              <w:top w:w="80" w:type="dxa"/>
              <w:bottom w:w="80" w:type="dxa"/>
              <w:left w:w="120" w:type="dxa"/>
              <w:right w:w="120" w:type="dxa"/>
            </w:tcMar>
          </w:tcPr>
          <w:p>
            <w:pPr>
              <w:spacing w:before="0" w:after="0"/>
            </w:pPr>
            <w:r>
              <w:rPr>
                <w:rFonts w:ascii="Calibri" w:hAnsi="Calibri"/>
                <w:color w:val="2D3748"/>
                <w:sz w:val="19"/>
              </w:rPr>
              <w:t>• 100% Client-Side with zero backend dependencies or complex build steps.</w:t>
              <w:br/>
              <w:t>• Rigorously verified SHA-256 implementation with NIST test vectors.</w:t>
              <w:br/>
              <w:t>• Immediate visual and physical feedback loop for learners.</w:t>
              <w:br/>
              <w:t>• Optimized for smooth 60-120 FPS performance on standard laptop hardware.</w:t>
            </w:r>
          </w:p>
        </w:tc>
      </w:tr>
      <w:tr>
        <w:tc>
          <w:tcPr>
            <w:tcW w:type="dxa" w:w="2592"/>
            <w:shd w:fill="F7FAFC"/>
            <w:tcMar>
              <w:top w:w="80" w:type="dxa"/>
              <w:bottom w:w="80" w:type="dxa"/>
              <w:left w:w="120" w:type="dxa"/>
              <w:right w:w="120" w:type="dxa"/>
            </w:tcMar>
          </w:tcPr>
          <w:p>
            <w:pPr>
              <w:spacing w:before="0" w:after="0"/>
            </w:pPr>
            <w:r>
              <w:rPr>
                <w:rFonts w:ascii="Calibri" w:hAnsi="Calibri"/>
                <w:color w:val="2D3748"/>
                <w:sz w:val="19"/>
              </w:rPr>
              <w:t>Weaknesses (W)</w:t>
            </w:r>
          </w:p>
        </w:tc>
        <w:tc>
          <w:tcPr>
            <w:tcW w:type="dxa" w:w="6768"/>
            <w:shd w:fill="F7FAFC"/>
            <w:tcMar>
              <w:top w:w="80" w:type="dxa"/>
              <w:bottom w:w="80" w:type="dxa"/>
              <w:left w:w="120" w:type="dxa"/>
              <w:right w:w="120" w:type="dxa"/>
            </w:tcMar>
          </w:tcPr>
          <w:p>
            <w:pPr>
              <w:spacing w:before="0" w:after="0"/>
            </w:pPr>
            <w:r>
              <w:rPr>
                <w:rFonts w:ascii="Calibri" w:hAnsi="Calibri"/>
                <w:color w:val="2D3748"/>
                <w:sz w:val="19"/>
              </w:rPr>
              <w:t>• Single-file codebase (&gt;2,100 lines) requires disciplined code sectioning.</w:t>
              <w:br/>
              <w:t>• Elliptic curve cryptography (secp256k1) is pedagogical rather than full ECDSA math.</w:t>
              <w:br/>
              <w:t>• Single-node perspective does not yet display multi-peer gossip network graphs.</w:t>
            </w:r>
          </w:p>
        </w:tc>
      </w:tr>
      <w:tr>
        <w:tc>
          <w:tcPr>
            <w:tcW w:type="dxa" w:w="2592"/>
            <w:shd w:fill="FFFFFF"/>
            <w:tcMar>
              <w:top w:w="80" w:type="dxa"/>
              <w:bottom w:w="80" w:type="dxa"/>
              <w:left w:w="120" w:type="dxa"/>
              <w:right w:w="120" w:type="dxa"/>
            </w:tcMar>
          </w:tcPr>
          <w:p>
            <w:pPr>
              <w:spacing w:before="0" w:after="0"/>
            </w:pPr>
            <w:r>
              <w:rPr>
                <w:rFonts w:ascii="Calibri" w:hAnsi="Calibri"/>
                <w:color w:val="2D3748"/>
                <w:sz w:val="19"/>
              </w:rPr>
              <w:t>Opportunities (O)</w:t>
            </w:r>
          </w:p>
        </w:tc>
        <w:tc>
          <w:tcPr>
            <w:tcW w:type="dxa" w:w="6768"/>
            <w:shd w:fill="FFFFFF"/>
            <w:tcMar>
              <w:top w:w="80" w:type="dxa"/>
              <w:bottom w:w="80" w:type="dxa"/>
              <w:left w:w="120" w:type="dxa"/>
              <w:right w:w="120" w:type="dxa"/>
            </w:tcMar>
          </w:tcPr>
          <w:p>
            <w:pPr>
              <w:spacing w:before="0" w:after="0"/>
            </w:pPr>
            <w:r>
              <w:rPr>
                <w:rFonts w:ascii="Calibri" w:hAnsi="Calibri"/>
                <w:color w:val="2D3748"/>
                <w:sz w:val="19"/>
              </w:rPr>
              <w:t>• Extension into Version 2.0 with Merkle Tree visualization and multi-tx blocks.</w:t>
              <w:br/>
              <w:t>• Addition of simulated WebRTC or BroadcastChannel multi-tab peer network mesh.</w:t>
              <w:br/>
              <w:t>• Creation of downloadable laboratory assignment sheets and challenge exercises.</w:t>
            </w:r>
          </w:p>
        </w:tc>
      </w:tr>
      <w:tr>
        <w:tc>
          <w:tcPr>
            <w:tcW w:type="dxa" w:w="2592"/>
            <w:shd w:fill="F7FAFC"/>
            <w:tcMar>
              <w:top w:w="80" w:type="dxa"/>
              <w:bottom w:w="80" w:type="dxa"/>
              <w:left w:w="120" w:type="dxa"/>
              <w:right w:w="120" w:type="dxa"/>
            </w:tcMar>
          </w:tcPr>
          <w:p>
            <w:pPr>
              <w:spacing w:before="0" w:after="0"/>
            </w:pPr>
            <w:r>
              <w:rPr>
                <w:rFonts w:ascii="Calibri" w:hAnsi="Calibri"/>
                <w:color w:val="2D3748"/>
                <w:sz w:val="19"/>
              </w:rPr>
              <w:t>Threats (T)</w:t>
            </w:r>
          </w:p>
        </w:tc>
        <w:tc>
          <w:tcPr>
            <w:tcW w:type="dxa" w:w="6768"/>
            <w:shd w:fill="F7FAFC"/>
            <w:tcMar>
              <w:top w:w="80" w:type="dxa"/>
              <w:bottom w:w="80" w:type="dxa"/>
              <w:left w:w="120" w:type="dxa"/>
              <w:right w:w="120" w:type="dxa"/>
            </w:tcMar>
          </w:tcPr>
          <w:p>
            <w:pPr>
              <w:spacing w:before="0" w:after="0"/>
            </w:pPr>
            <w:r>
              <w:rPr>
                <w:rFonts w:ascii="Calibri" w:hAnsi="Calibri"/>
                <w:color w:val="2D3748"/>
                <w:sz w:val="19"/>
              </w:rPr>
              <w:t>• Memory constraints if an inexperienced student runs difficulty 6+ mining in low-end hardware.</w:t>
              <w:br/>
              <w:t>• Pedagogical confusion if students assume the simplified educational key derivation is production-grade.</w:t>
            </w:r>
          </w:p>
        </w:tc>
      </w:tr>
    </w:tbl>
    <w:p>
      <w:pPr>
        <w:spacing w:after="120"/>
      </w:pPr>
    </w:p>
    <w:p>
      <w:pPr>
        <w:keepNext/>
        <w:spacing w:before="320" w:after="120"/>
      </w:pPr>
      <w:r>
        <w:rPr>
          <w:rFonts w:ascii="Calibri" w:hAnsi="Calibri"/>
          <w:b/>
          <w:color w:val="1B365D"/>
          <w:sz w:val="32"/>
        </w:rPr>
        <w:t>8. Version 2.0 Strategic Roadmap</w:t>
      </w:r>
    </w:p>
    <w:p>
      <w:r>
        <w:t>To extend the visualizer's academic utility through Unit 4 of the syllabus, the following enhancements are scheduled for Version 2.0:</w:t>
      </w:r>
    </w:p>
    <w:p>
      <w:pPr>
        <w:pStyle w:val="ListBullet"/>
      </w:pPr>
      <w:r>
        <w:rPr>
          <w:b/>
          <w:color w:val="1B365D"/>
        </w:rPr>
        <w:t xml:space="preserve">Interactive Merkle Tree Explorer: </w:t>
      </w:r>
      <w:r>
        <w:t>Enhance Module 02 to render a live binary hash tree for blocks containing multiple transactions, demonstrating how SPV (Simplified Payment Verification) proofs work.</w:t>
      </w:r>
    </w:p>
    <w:p>
      <w:pPr>
        <w:pStyle w:val="ListBullet"/>
      </w:pPr>
      <w:r>
        <w:rPr>
          <w:b/>
          <w:color w:val="1B365D"/>
        </w:rPr>
        <w:t xml:space="preserve">Multi-Node Network Mesh (P2P Simulator): </w:t>
      </w:r>
      <w:r>
        <w:t>Introduce a visual 4-node network using the HTML5 BroadcastChannel API, allowing students to observe block propagation latency, temporary forks, and longest-chain resolution.</w:t>
      </w:r>
    </w:p>
    <w:p>
      <w:pPr>
        <w:pStyle w:val="ListBullet"/>
      </w:pPr>
      <w:r>
        <w:rPr>
          <w:b/>
          <w:color w:val="1B365D"/>
        </w:rPr>
        <w:t xml:space="preserve">Modular ES6 Code Separation: </w:t>
      </w:r>
      <w:r>
        <w:t>Refactor the monolith into separate modular ES6 files (/src/crypto, /src/modules, /src/ui) while maintaining zero-build compatibility via native `&lt;script type='module'&gt;`.</w:t>
      </w:r>
    </w:p>
    <w:p>
      <w:pPr>
        <w:pStyle w:val="ListBullet"/>
      </w:pPr>
      <w:r>
        <w:rPr>
          <w:b/>
          <w:color w:val="1B365D"/>
        </w:rPr>
        <w:t xml:space="preserve">Laboratory Challenge / Exam Mode: </w:t>
      </w:r>
      <w:r>
        <w:t>Incorporate automated self-assessment challenges (e.g., 'Identify which block was altered in this 5-block chain', 'Calculate the nonce required to mine Block #3').</w:t>
      </w:r>
    </w:p>
    <w:p>
      <w:pPr>
        <w:keepNext/>
        <w:spacing w:before="320" w:after="120"/>
      </w:pPr>
      <w:r>
        <w:rPr>
          <w:rFonts w:ascii="Calibri" w:hAnsi="Calibri"/>
          <w:b/>
          <w:color w:val="1B365D"/>
          <w:sz w:val="32"/>
        </w:rPr>
        <w:t>9. Conclusion</w:t>
      </w:r>
    </w:p>
    <w:p>
      <w:r>
        <w:t>The Blockchain Concept Visualizer successfully converts the theoretical concepts of the MGM University CSB24PCC452 syllabus into an engaging, interactive, and high-performance digital laboratory. By replacing abstract slide diagrams with live, tangible simulations—where students can directly see hashes update, chains break, miners compete, and double-spends fail—the visualizer elevates the learning experience and provides an outstanding practical foundation in decentralized systems and modern cybersecurity.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