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591"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408"/>
        <w:gridCol w:w="3415"/>
        <w:gridCol w:w="9768"/>
      </w:tblGrid>
      <w:tr w:rsidR="0096439E" w:rsidRPr="0096439E" w14:paraId="7668B500"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C146BD"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Content</w:t>
            </w:r>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3A882"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Link</w:t>
            </w:r>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479FD"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 </w:t>
            </w:r>
          </w:p>
        </w:tc>
      </w:tr>
      <w:tr w:rsidR="0096439E" w:rsidRPr="0096439E" w14:paraId="1282ED70"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4B5E4"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 xml:space="preserve">Death to </w:t>
            </w:r>
            <w:proofErr w:type="spellStart"/>
            <w:r w:rsidRPr="0096439E">
              <w:rPr>
                <w:rFonts w:ascii="Calibri" w:eastAsia="Times New Roman" w:hAnsi="Calibri" w:cs="Calibri"/>
                <w:lang w:val="de-DE"/>
              </w:rPr>
              <w:t>alcohol</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abuse</w:t>
            </w:r>
            <w:proofErr w:type="spellEnd"/>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2AD18" w14:textId="77777777" w:rsidR="0096439E" w:rsidRPr="0096439E" w:rsidRDefault="00D1572A" w:rsidP="0096439E">
            <w:pPr>
              <w:spacing w:after="0" w:line="240" w:lineRule="auto"/>
              <w:rPr>
                <w:rFonts w:ascii="Calibri" w:eastAsia="Times New Roman" w:hAnsi="Calibri" w:cs="Calibri"/>
                <w:lang w:val="de-DE"/>
              </w:rPr>
            </w:pPr>
            <w:hyperlink r:id="rId5" w:history="1">
              <w:r w:rsidR="0096439E" w:rsidRPr="0096439E">
                <w:rPr>
                  <w:rFonts w:ascii="Calibri" w:eastAsia="Times New Roman" w:hAnsi="Calibri" w:cs="Calibri"/>
                  <w:color w:val="0000FF"/>
                  <w:u w:val="single"/>
                  <w:lang w:val="de-DE"/>
                </w:rPr>
                <w:t>https://ec.europa.eu/eurostat/api/dissemination/sdmx/2.1/data/tps00140/?format=SDMX-CSV&amp;returnData=ALL&amp;lang=en&amp;label=both</w:t>
              </w:r>
            </w:hyperlink>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72D37"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Death rate of a population adjusted to a standard age distribution. As most causes of death vary significantly with people's age and sex, the use of </w:t>
            </w:r>
            <w:proofErr w:type="spellStart"/>
            <w:r w:rsidRPr="0096439E">
              <w:rPr>
                <w:rFonts w:ascii="Calibri" w:eastAsia="Times New Roman" w:hAnsi="Calibri" w:cs="Calibri"/>
              </w:rPr>
              <w:t>standardised</w:t>
            </w:r>
            <w:proofErr w:type="spellEnd"/>
            <w:r w:rsidRPr="0096439E">
              <w:rPr>
                <w:rFonts w:ascii="Calibri" w:eastAsia="Times New Roman" w:hAnsi="Calibri" w:cs="Calibri"/>
              </w:rPr>
              <w:t xml:space="preserve"> death rates improves comparability over time and between countries, as they aim at measuring death rates independently of different age structures of populations. The </w:t>
            </w:r>
            <w:proofErr w:type="spellStart"/>
            <w:r w:rsidRPr="0096439E">
              <w:rPr>
                <w:rFonts w:ascii="Calibri" w:eastAsia="Times New Roman" w:hAnsi="Calibri" w:cs="Calibri"/>
              </w:rPr>
              <w:t>standardised</w:t>
            </w:r>
            <w:proofErr w:type="spellEnd"/>
            <w:r w:rsidRPr="0096439E">
              <w:rPr>
                <w:rFonts w:ascii="Calibri" w:eastAsia="Times New Roman" w:hAnsi="Calibri" w:cs="Calibri"/>
              </w:rPr>
              <w:t xml:space="preserve"> death rates used here are calculated on the basis of a standard European population (defined by the World Health Organization). Detailed data for 65 causes of death are available in the database (under the heading 'Data').</w:t>
            </w:r>
          </w:p>
          <w:p w14:paraId="1ABE5300" w14:textId="77777777" w:rsidR="0096439E" w:rsidRPr="0096439E" w:rsidRDefault="0096439E" w:rsidP="0096439E">
            <w:pPr>
              <w:spacing w:before="100" w:beforeAutospacing="1" w:after="10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t>Aus</w:t>
            </w:r>
            <w:proofErr w:type="spellEnd"/>
            <w:r w:rsidRPr="0096439E">
              <w:rPr>
                <w:rFonts w:ascii="Calibri" w:eastAsia="Times New Roman" w:hAnsi="Calibri" w:cs="Calibri"/>
                <w:i/>
                <w:iCs/>
                <w:color w:val="595959"/>
                <w:sz w:val="18"/>
                <w:szCs w:val="18"/>
              </w:rPr>
              <w:t xml:space="preserve"> &lt;</w:t>
            </w:r>
            <w:hyperlink r:id="rId6" w:history="1">
              <w:r w:rsidRPr="0096439E">
                <w:rPr>
                  <w:rFonts w:ascii="Calibri" w:eastAsia="Times New Roman" w:hAnsi="Calibri" w:cs="Calibri"/>
                  <w:i/>
                  <w:iCs/>
                  <w:color w:val="0000FF"/>
                  <w:sz w:val="18"/>
                  <w:szCs w:val="18"/>
                  <w:u w:val="single"/>
                </w:rPr>
                <w:t>https://ec.europa.eu/eurostat/databrowser/view/tps00140/default/table?lang=en</w:t>
              </w:r>
            </w:hyperlink>
            <w:r w:rsidRPr="0096439E">
              <w:rPr>
                <w:rFonts w:ascii="Calibri" w:eastAsia="Times New Roman" w:hAnsi="Calibri" w:cs="Calibri"/>
                <w:i/>
                <w:iCs/>
                <w:color w:val="595959"/>
                <w:sz w:val="18"/>
                <w:szCs w:val="18"/>
              </w:rPr>
              <w:t xml:space="preserve">&gt; </w:t>
            </w:r>
          </w:p>
        </w:tc>
      </w:tr>
      <w:tr w:rsidR="0096439E" w:rsidRPr="0096439E" w14:paraId="29016550"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B8B46" w14:textId="77777777" w:rsidR="0096439E" w:rsidRPr="0096439E" w:rsidRDefault="0096439E" w:rsidP="0096439E">
            <w:pPr>
              <w:spacing w:after="0" w:line="240" w:lineRule="auto"/>
              <w:rPr>
                <w:rFonts w:ascii="Calibri" w:eastAsia="Times New Roman" w:hAnsi="Calibri" w:cs="Calibri"/>
                <w:lang w:val="de-DE"/>
              </w:rPr>
            </w:pPr>
            <w:proofErr w:type="spellStart"/>
            <w:r w:rsidRPr="0096439E">
              <w:rPr>
                <w:rFonts w:ascii="Calibri" w:eastAsia="Times New Roman" w:hAnsi="Calibri" w:cs="Calibri"/>
                <w:lang w:val="de-DE"/>
              </w:rPr>
              <w:t>Gini</w:t>
            </w:r>
            <w:proofErr w:type="spellEnd"/>
            <w:r w:rsidRPr="0096439E">
              <w:rPr>
                <w:rFonts w:ascii="Calibri" w:eastAsia="Times New Roman" w:hAnsi="Calibri" w:cs="Calibri"/>
                <w:lang w:val="de-DE"/>
              </w:rPr>
              <w:t xml:space="preserve"> Index</w:t>
            </w:r>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ACF00" w14:textId="77777777" w:rsidR="0096439E" w:rsidRPr="0096439E" w:rsidRDefault="00D1572A" w:rsidP="0096439E">
            <w:pPr>
              <w:spacing w:after="0" w:line="240" w:lineRule="auto"/>
              <w:rPr>
                <w:rFonts w:ascii="Calibri" w:eastAsia="Times New Roman" w:hAnsi="Calibri" w:cs="Calibri"/>
                <w:lang w:val="de-DE"/>
              </w:rPr>
            </w:pPr>
            <w:hyperlink r:id="rId7" w:history="1">
              <w:r w:rsidR="0096439E" w:rsidRPr="0096439E">
                <w:rPr>
                  <w:rFonts w:ascii="Calibri" w:eastAsia="Times New Roman" w:hAnsi="Calibri" w:cs="Calibri"/>
                  <w:color w:val="0000FF"/>
                  <w:u w:val="single"/>
                  <w:lang w:val="de-DE"/>
                </w:rPr>
                <w:t>https://ec.europa.eu/eurostat/api/dissemination/sdmx/2.1/data/tessi190/?format=SDMX-CSV&amp;returnData=ALL&amp;lang=en&amp;label=both</w:t>
              </w:r>
            </w:hyperlink>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41348"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The Gini coefficient is defined as the relationship of cumulative shares of the population arranged according to the level of </w:t>
            </w:r>
            <w:proofErr w:type="spellStart"/>
            <w:r w:rsidRPr="0096439E">
              <w:rPr>
                <w:rFonts w:ascii="Calibri" w:eastAsia="Times New Roman" w:hAnsi="Calibri" w:cs="Calibri"/>
              </w:rPr>
              <w:t>equivalised</w:t>
            </w:r>
            <w:proofErr w:type="spellEnd"/>
            <w:r w:rsidRPr="0096439E">
              <w:rPr>
                <w:rFonts w:ascii="Calibri" w:eastAsia="Times New Roman" w:hAnsi="Calibri" w:cs="Calibri"/>
              </w:rPr>
              <w:t xml:space="preserve"> disposable income, to the cumulative share of the </w:t>
            </w:r>
            <w:proofErr w:type="spellStart"/>
            <w:r w:rsidRPr="0096439E">
              <w:rPr>
                <w:rFonts w:ascii="Calibri" w:eastAsia="Times New Roman" w:hAnsi="Calibri" w:cs="Calibri"/>
              </w:rPr>
              <w:t>equivalised</w:t>
            </w:r>
            <w:proofErr w:type="spellEnd"/>
            <w:r w:rsidRPr="0096439E">
              <w:rPr>
                <w:rFonts w:ascii="Calibri" w:eastAsia="Times New Roman" w:hAnsi="Calibri" w:cs="Calibri"/>
              </w:rPr>
              <w:t xml:space="preserve"> total disposable income received by them.</w:t>
            </w:r>
          </w:p>
          <w:p w14:paraId="6C449AA7" w14:textId="77777777" w:rsidR="0096439E" w:rsidRPr="0096439E" w:rsidRDefault="0096439E" w:rsidP="0096439E">
            <w:pPr>
              <w:spacing w:before="100" w:beforeAutospacing="1" w:after="10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t>Aus</w:t>
            </w:r>
            <w:proofErr w:type="spellEnd"/>
            <w:r w:rsidRPr="0096439E">
              <w:rPr>
                <w:rFonts w:ascii="Calibri" w:eastAsia="Times New Roman" w:hAnsi="Calibri" w:cs="Calibri"/>
                <w:i/>
                <w:iCs/>
                <w:color w:val="595959"/>
                <w:sz w:val="18"/>
                <w:szCs w:val="18"/>
              </w:rPr>
              <w:t xml:space="preserve"> &lt;</w:t>
            </w:r>
            <w:hyperlink r:id="rId8" w:history="1">
              <w:r w:rsidRPr="0096439E">
                <w:rPr>
                  <w:rFonts w:ascii="Calibri" w:eastAsia="Times New Roman" w:hAnsi="Calibri" w:cs="Calibri"/>
                  <w:i/>
                  <w:iCs/>
                  <w:color w:val="0000FF"/>
                  <w:sz w:val="18"/>
                  <w:szCs w:val="18"/>
                  <w:u w:val="single"/>
                </w:rPr>
                <w:t>https://ec.europa.eu/eurostat/databrowser/view/tessi190/default/table?lang=en</w:t>
              </w:r>
            </w:hyperlink>
            <w:r w:rsidRPr="0096439E">
              <w:rPr>
                <w:rFonts w:ascii="Calibri" w:eastAsia="Times New Roman" w:hAnsi="Calibri" w:cs="Calibri"/>
                <w:i/>
                <w:iCs/>
                <w:color w:val="595959"/>
                <w:sz w:val="18"/>
                <w:szCs w:val="18"/>
              </w:rPr>
              <w:t xml:space="preserve">&gt; </w:t>
            </w:r>
          </w:p>
          <w:p w14:paraId="1EEDEF48"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lang w:val="de-DE"/>
              </w:rPr>
              <w:t xml:space="preserve">Source: </w:t>
            </w:r>
            <w:hyperlink r:id="rId9" w:history="1">
              <w:r w:rsidRPr="0096439E">
                <w:rPr>
                  <w:rFonts w:ascii="Calibri" w:eastAsia="Times New Roman" w:hAnsi="Calibri" w:cs="Calibri"/>
                  <w:color w:val="0000FF"/>
                  <w:u w:val="single"/>
                </w:rPr>
                <w:t>https://ec.europa.eu/eurostat/databrowser/product/view/ilc_di12</w:t>
              </w:r>
            </w:hyperlink>
          </w:p>
        </w:tc>
      </w:tr>
      <w:tr w:rsidR="0096439E" w:rsidRPr="0096439E" w14:paraId="4ED43779"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884D5" w14:textId="77777777" w:rsidR="0096439E" w:rsidRPr="0096439E" w:rsidRDefault="0096439E" w:rsidP="0096439E">
            <w:pPr>
              <w:spacing w:after="0" w:line="240" w:lineRule="auto"/>
              <w:rPr>
                <w:rFonts w:ascii="Calibri" w:eastAsia="Times New Roman" w:hAnsi="Calibri" w:cs="Calibri"/>
                <w:lang w:val="de-DE"/>
              </w:rPr>
            </w:pPr>
            <w:proofErr w:type="spellStart"/>
            <w:r w:rsidRPr="0096439E">
              <w:rPr>
                <w:rFonts w:ascii="Calibri" w:eastAsia="Times New Roman" w:hAnsi="Calibri" w:cs="Calibri"/>
                <w:lang w:val="de-DE"/>
              </w:rPr>
              <w:t>Unemployment</w:t>
            </w:r>
            <w:proofErr w:type="spellEnd"/>
            <w:r w:rsidRPr="0096439E">
              <w:rPr>
                <w:rFonts w:ascii="Calibri" w:eastAsia="Times New Roman" w:hAnsi="Calibri" w:cs="Calibri"/>
                <w:lang w:val="de-DE"/>
              </w:rPr>
              <w:t xml:space="preserve"> Rate</w:t>
            </w:r>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C9FE5" w14:textId="77777777" w:rsidR="0096439E" w:rsidRPr="0096439E" w:rsidRDefault="00D1572A" w:rsidP="0096439E">
            <w:pPr>
              <w:spacing w:after="0" w:line="240" w:lineRule="auto"/>
              <w:rPr>
                <w:rFonts w:ascii="Calibri" w:eastAsia="Times New Roman" w:hAnsi="Calibri" w:cs="Calibri"/>
                <w:lang w:val="de-DE"/>
              </w:rPr>
            </w:pPr>
            <w:hyperlink r:id="rId10" w:history="1">
              <w:r w:rsidR="0096439E" w:rsidRPr="0096439E">
                <w:rPr>
                  <w:rFonts w:ascii="Calibri" w:eastAsia="Times New Roman" w:hAnsi="Calibri" w:cs="Calibri"/>
                  <w:color w:val="0000FF"/>
                  <w:u w:val="single"/>
                  <w:lang w:val="de-DE"/>
                </w:rPr>
                <w:t>https://ec.europa.eu/eurostat/api/dissemination/sdmx/2.1/data/tipsun20/?format=SDMX-CSV&amp;returnData=ALL&amp;lang=en&amp;label=both</w:t>
              </w:r>
            </w:hyperlink>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ED6BA"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The unemployment rate is the number of unemployed persons as a percentage of the </w:t>
            </w:r>
            <w:proofErr w:type="spellStart"/>
            <w:r w:rsidRPr="0096439E">
              <w:rPr>
                <w:rFonts w:ascii="Calibri" w:eastAsia="Times New Roman" w:hAnsi="Calibri" w:cs="Calibri"/>
              </w:rPr>
              <w:t>labour</w:t>
            </w:r>
            <w:proofErr w:type="spellEnd"/>
            <w:r w:rsidRPr="0096439E">
              <w:rPr>
                <w:rFonts w:ascii="Calibri" w:eastAsia="Times New Roman" w:hAnsi="Calibri" w:cs="Calibri"/>
              </w:rPr>
              <w:t xml:space="preserve"> force based on International </w:t>
            </w:r>
            <w:proofErr w:type="spellStart"/>
            <w:r w:rsidRPr="0096439E">
              <w:rPr>
                <w:rFonts w:ascii="Calibri" w:eastAsia="Times New Roman" w:hAnsi="Calibri" w:cs="Calibri"/>
              </w:rPr>
              <w:t>Labour</w:t>
            </w:r>
            <w:proofErr w:type="spellEnd"/>
            <w:r w:rsidRPr="0096439E">
              <w:rPr>
                <w:rFonts w:ascii="Calibri" w:eastAsia="Times New Roman" w:hAnsi="Calibri" w:cs="Calibri"/>
              </w:rPr>
              <w:t xml:space="preserve"> Office (ILO) definition. The </w:t>
            </w:r>
            <w:proofErr w:type="spellStart"/>
            <w:r w:rsidRPr="0096439E">
              <w:rPr>
                <w:rFonts w:ascii="Calibri" w:eastAsia="Times New Roman" w:hAnsi="Calibri" w:cs="Calibri"/>
              </w:rPr>
              <w:t>labour</w:t>
            </w:r>
            <w:proofErr w:type="spellEnd"/>
            <w:r w:rsidRPr="0096439E">
              <w:rPr>
                <w:rFonts w:ascii="Calibri" w:eastAsia="Times New Roman" w:hAnsi="Calibri" w:cs="Calibri"/>
              </w:rPr>
              <w:t xml:space="preserve"> force is the total number of people employed and unemployed. Unemployed persons comprise persons aged 15 to 74 who: - are without work during the reference week; - are available to start work within the next two weeks; - and have been actively seeking work in the past four weeks or had already found a job to start within the next three months. Unit: rate.</w:t>
            </w:r>
          </w:p>
          <w:p w14:paraId="5C8082CC"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 </w:t>
            </w:r>
          </w:p>
          <w:p w14:paraId="4926B529" w14:textId="77777777" w:rsidR="0096439E" w:rsidRPr="0096439E" w:rsidRDefault="0096439E" w:rsidP="0096439E">
            <w:pPr>
              <w:spacing w:beforeAutospacing="1" w:after="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t>Aus</w:t>
            </w:r>
            <w:proofErr w:type="spellEnd"/>
            <w:r w:rsidRPr="0096439E">
              <w:rPr>
                <w:rFonts w:ascii="Calibri" w:eastAsia="Times New Roman" w:hAnsi="Calibri" w:cs="Calibri"/>
                <w:i/>
                <w:iCs/>
                <w:color w:val="595959"/>
                <w:sz w:val="18"/>
                <w:szCs w:val="18"/>
              </w:rPr>
              <w:t xml:space="preserve"> &lt;</w:t>
            </w:r>
            <w:hyperlink r:id="rId11" w:history="1">
              <w:r w:rsidRPr="0096439E">
                <w:rPr>
                  <w:rFonts w:ascii="Calibri" w:eastAsia="Times New Roman" w:hAnsi="Calibri" w:cs="Calibri"/>
                  <w:i/>
                  <w:iCs/>
                  <w:color w:val="0000FF"/>
                  <w:sz w:val="18"/>
                  <w:szCs w:val="18"/>
                  <w:u w:val="single"/>
                </w:rPr>
                <w:t>https://ec.europa.eu/eurostat/databrowser/view/tipsun20/default/table?lang=en</w:t>
              </w:r>
            </w:hyperlink>
            <w:r w:rsidRPr="0096439E">
              <w:rPr>
                <w:rFonts w:ascii="Calibri" w:eastAsia="Times New Roman" w:hAnsi="Calibri" w:cs="Calibri"/>
                <w:i/>
                <w:iCs/>
                <w:color w:val="595959"/>
                <w:sz w:val="18"/>
                <w:szCs w:val="18"/>
              </w:rPr>
              <w:t xml:space="preserve">&gt; </w:t>
            </w:r>
          </w:p>
          <w:p w14:paraId="6D00B2B2"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 </w:t>
            </w:r>
          </w:p>
        </w:tc>
      </w:tr>
      <w:tr w:rsidR="0096439E" w:rsidRPr="0096439E" w14:paraId="600298D3"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0EA82" w14:textId="77777777" w:rsidR="0096439E" w:rsidRPr="0096439E" w:rsidRDefault="0096439E" w:rsidP="0096439E">
            <w:pPr>
              <w:spacing w:after="0" w:line="240" w:lineRule="auto"/>
              <w:rPr>
                <w:rFonts w:ascii="Calibri" w:eastAsia="Times New Roman" w:hAnsi="Calibri" w:cs="Calibri"/>
                <w:lang w:val="de-DE"/>
              </w:rPr>
            </w:pPr>
            <w:proofErr w:type="spellStart"/>
            <w:r w:rsidRPr="0096439E">
              <w:rPr>
                <w:rFonts w:ascii="Calibri" w:eastAsia="Times New Roman" w:hAnsi="Calibri" w:cs="Calibri"/>
                <w:lang w:val="de-DE"/>
              </w:rPr>
              <w:t>Social</w:t>
            </w:r>
            <w:proofErr w:type="spellEnd"/>
            <w:r w:rsidRPr="0096439E">
              <w:rPr>
                <w:rFonts w:ascii="Calibri" w:eastAsia="Times New Roman" w:hAnsi="Calibri" w:cs="Calibri"/>
                <w:lang w:val="de-DE"/>
              </w:rPr>
              <w:t xml:space="preserve"> Network </w:t>
            </w:r>
            <w:proofErr w:type="spellStart"/>
            <w:r w:rsidRPr="0096439E">
              <w:rPr>
                <w:rFonts w:ascii="Calibri" w:eastAsia="Times New Roman" w:hAnsi="Calibri" w:cs="Calibri"/>
                <w:lang w:val="de-DE"/>
              </w:rPr>
              <w:t>Usage</w:t>
            </w:r>
            <w:proofErr w:type="spellEnd"/>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156FE" w14:textId="77777777" w:rsidR="0096439E" w:rsidRPr="0096439E" w:rsidRDefault="00D1572A" w:rsidP="0096439E">
            <w:pPr>
              <w:spacing w:after="0" w:line="240" w:lineRule="auto"/>
              <w:rPr>
                <w:rFonts w:ascii="Calibri" w:eastAsia="Times New Roman" w:hAnsi="Calibri" w:cs="Calibri"/>
                <w:lang w:val="de-DE"/>
              </w:rPr>
            </w:pPr>
            <w:hyperlink r:id="rId12" w:history="1">
              <w:r w:rsidR="0096439E" w:rsidRPr="0096439E">
                <w:rPr>
                  <w:rFonts w:ascii="Calibri" w:eastAsia="Times New Roman" w:hAnsi="Calibri" w:cs="Calibri"/>
                  <w:color w:val="0000FF"/>
                  <w:u w:val="single"/>
                  <w:lang w:val="de-DE"/>
                </w:rPr>
                <w:t>https://ec.europa.eu/eurostat/api/dissemination/sdmx/2.1/data/tin00127/?format=SDMX-</w:t>
              </w:r>
              <w:r w:rsidR="0096439E" w:rsidRPr="0096439E">
                <w:rPr>
                  <w:rFonts w:ascii="Calibri" w:eastAsia="Times New Roman" w:hAnsi="Calibri" w:cs="Calibri"/>
                  <w:color w:val="0000FF"/>
                  <w:u w:val="single"/>
                  <w:lang w:val="de-DE"/>
                </w:rPr>
                <w:lastRenderedPageBreak/>
                <w:t>CSV&amp;returnData=ALL&amp;lang=en&amp;label=both</w:t>
              </w:r>
            </w:hyperlink>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318FA"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lastRenderedPageBreak/>
              <w:t xml:space="preserve">Data refer to the last 3 months before the survey, for private purposes. Participating in social networks: creating user profile, posting messages or other contributions to </w:t>
            </w:r>
            <w:proofErr w:type="spellStart"/>
            <w:r w:rsidRPr="0096439E">
              <w:rPr>
                <w:rFonts w:ascii="Calibri" w:eastAsia="Times New Roman" w:hAnsi="Calibri" w:cs="Calibri"/>
              </w:rPr>
              <w:t>facebook</w:t>
            </w:r>
            <w:proofErr w:type="spellEnd"/>
            <w:r w:rsidRPr="0096439E">
              <w:rPr>
                <w:rFonts w:ascii="Calibri" w:eastAsia="Times New Roman" w:hAnsi="Calibri" w:cs="Calibri"/>
              </w:rPr>
              <w:t>, twitter, etc.</w:t>
            </w:r>
          </w:p>
          <w:p w14:paraId="2C220C55"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 </w:t>
            </w:r>
          </w:p>
          <w:p w14:paraId="313FE6BB" w14:textId="77777777" w:rsidR="0096439E" w:rsidRPr="0096439E" w:rsidRDefault="0096439E" w:rsidP="0096439E">
            <w:pPr>
              <w:spacing w:beforeAutospacing="1" w:after="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lastRenderedPageBreak/>
              <w:t>Aus</w:t>
            </w:r>
            <w:proofErr w:type="spellEnd"/>
            <w:r w:rsidRPr="0096439E">
              <w:rPr>
                <w:rFonts w:ascii="Calibri" w:eastAsia="Times New Roman" w:hAnsi="Calibri" w:cs="Calibri"/>
                <w:i/>
                <w:iCs/>
                <w:color w:val="595959"/>
                <w:sz w:val="18"/>
                <w:szCs w:val="18"/>
              </w:rPr>
              <w:t xml:space="preserve"> &lt;</w:t>
            </w:r>
            <w:hyperlink r:id="rId13" w:history="1">
              <w:r w:rsidRPr="0096439E">
                <w:rPr>
                  <w:rFonts w:ascii="Calibri" w:eastAsia="Times New Roman" w:hAnsi="Calibri" w:cs="Calibri"/>
                  <w:i/>
                  <w:iCs/>
                  <w:color w:val="0000FF"/>
                  <w:sz w:val="18"/>
                  <w:szCs w:val="18"/>
                  <w:u w:val="single"/>
                </w:rPr>
                <w:t>https://ec.europa.eu/eurostat/databrowser/view/tin00127/default/table?lang=en</w:t>
              </w:r>
            </w:hyperlink>
            <w:r w:rsidRPr="0096439E">
              <w:rPr>
                <w:rFonts w:ascii="Calibri" w:eastAsia="Times New Roman" w:hAnsi="Calibri" w:cs="Calibri"/>
                <w:i/>
                <w:iCs/>
                <w:color w:val="595959"/>
                <w:sz w:val="18"/>
                <w:szCs w:val="18"/>
              </w:rPr>
              <w:t xml:space="preserve">&gt; </w:t>
            </w:r>
          </w:p>
          <w:p w14:paraId="7B836334"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 xml:space="preserve">Sourc </w:t>
            </w:r>
            <w:proofErr w:type="spellStart"/>
            <w:r w:rsidRPr="0096439E">
              <w:rPr>
                <w:rFonts w:ascii="Calibri" w:eastAsia="Times New Roman" w:hAnsi="Calibri" w:cs="Calibri"/>
                <w:lang w:val="de-DE"/>
              </w:rPr>
              <w:t>dataset</w:t>
            </w:r>
            <w:proofErr w:type="spellEnd"/>
            <w:r w:rsidRPr="0096439E">
              <w:rPr>
                <w:rFonts w:ascii="Calibri" w:eastAsia="Times New Roman" w:hAnsi="Calibri" w:cs="Calibri"/>
                <w:lang w:val="de-DE"/>
              </w:rPr>
              <w:t>:</w:t>
            </w:r>
          </w:p>
          <w:p w14:paraId="7A81C8D5" w14:textId="77777777" w:rsidR="0096439E" w:rsidRPr="0096439E" w:rsidRDefault="00D1572A" w:rsidP="0096439E">
            <w:pPr>
              <w:spacing w:after="0" w:line="240" w:lineRule="auto"/>
              <w:rPr>
                <w:rFonts w:ascii="Calibri" w:eastAsia="Times New Roman" w:hAnsi="Calibri" w:cs="Calibri"/>
                <w:lang w:val="de-DE"/>
              </w:rPr>
            </w:pPr>
            <w:hyperlink r:id="rId14" w:history="1">
              <w:r w:rsidR="0096439E" w:rsidRPr="0096439E">
                <w:rPr>
                  <w:rFonts w:ascii="Calibri" w:eastAsia="Times New Roman" w:hAnsi="Calibri" w:cs="Calibri"/>
                  <w:color w:val="0000FF"/>
                  <w:u w:val="single"/>
                  <w:lang w:val="de-DE"/>
                </w:rPr>
                <w:t>https://ec.europa.eu/eurostat/databrowser/view/isoc_ci_ac_i/default/table?lang=en</w:t>
              </w:r>
            </w:hyperlink>
          </w:p>
        </w:tc>
      </w:tr>
      <w:tr w:rsidR="0096439E" w:rsidRPr="0096439E" w14:paraId="1436F261"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C3D2"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lang w:val="de-AT"/>
              </w:rPr>
              <w:lastRenderedPageBreak/>
              <w:t>Police-</w:t>
            </w:r>
            <w:proofErr w:type="spellStart"/>
            <w:r w:rsidRPr="0096439E">
              <w:rPr>
                <w:rFonts w:ascii="Calibri" w:eastAsia="Times New Roman" w:hAnsi="Calibri" w:cs="Calibri"/>
                <w:lang w:val="de-AT"/>
              </w:rPr>
              <w:t>recorded</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offences</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by</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offence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category</w:t>
            </w:r>
            <w:proofErr w:type="spellEnd"/>
            <w:r w:rsidRPr="0096439E">
              <w:rPr>
                <w:rFonts w:ascii="Calibri" w:eastAsia="Times New Roman" w:hAnsi="Calibri" w:cs="Calibri"/>
                <w:lang w:val="de-DE"/>
              </w:rPr>
              <w:t xml:space="preserve"> per 100tsd</w:t>
            </w:r>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E4214" w14:textId="77777777" w:rsidR="0096439E" w:rsidRPr="0096439E" w:rsidRDefault="00D1572A" w:rsidP="0096439E">
            <w:pPr>
              <w:spacing w:after="0" w:line="240" w:lineRule="auto"/>
              <w:rPr>
                <w:rFonts w:ascii="Calibri" w:eastAsia="Times New Roman" w:hAnsi="Calibri" w:cs="Calibri"/>
                <w:lang w:val="de-DE"/>
              </w:rPr>
            </w:pPr>
            <w:hyperlink r:id="rId15" w:history="1">
              <w:r w:rsidR="0096439E" w:rsidRPr="0096439E">
                <w:rPr>
                  <w:rFonts w:ascii="Calibri" w:eastAsia="Times New Roman" w:hAnsi="Calibri" w:cs="Calibri"/>
                  <w:color w:val="0000FF"/>
                  <w:u w:val="single"/>
                  <w:lang w:val="de-DE"/>
                </w:rPr>
                <w:t>https://ec.europa.eu/eurostat/api/dissemination/sdmx/2.1/data/crim_off_cat/?format=SDMX-CSV&amp;lang=en&amp;label=both</w:t>
              </w:r>
            </w:hyperlink>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9DD99"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 </w:t>
            </w:r>
          </w:p>
        </w:tc>
      </w:tr>
      <w:tr w:rsidR="0096439E" w:rsidRPr="0096439E" w14:paraId="1D6CCEC0"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D24C5"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People at risk of poverty or social exclusion</w:t>
            </w:r>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84F83" w14:textId="77777777" w:rsidR="0096439E" w:rsidRPr="0096439E" w:rsidRDefault="00D1572A" w:rsidP="0096439E">
            <w:pPr>
              <w:spacing w:after="0" w:line="240" w:lineRule="auto"/>
              <w:rPr>
                <w:rFonts w:ascii="Calibri" w:eastAsia="Times New Roman" w:hAnsi="Calibri" w:cs="Calibri"/>
                <w:lang w:val="de-DE"/>
              </w:rPr>
            </w:pPr>
            <w:hyperlink r:id="rId16" w:history="1">
              <w:r w:rsidR="0096439E" w:rsidRPr="0096439E">
                <w:rPr>
                  <w:rFonts w:ascii="Calibri" w:eastAsia="Times New Roman" w:hAnsi="Calibri" w:cs="Calibri"/>
                  <w:color w:val="0000FF"/>
                  <w:u w:val="single"/>
                  <w:lang w:val="de-DE"/>
                </w:rPr>
                <w:t>https://ec.europa.eu/eurostat/api/dissemination/sdmx/2.1/data/sdg_01_10/?format=SDMX-CSV&amp;returnData=ALL&amp;lang=en&amp;label=both</w:t>
              </w:r>
            </w:hyperlink>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8F4C67"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This indicator corresponds to the sum of persons who are: at risk of poverty after social transfers, severely materially deprived or living in households with very low work intensity. Persons are counted only once even if they are affected by more than one of these phenomena. • Persons are considered to be at risk of poverty after social transfers, if they have an </w:t>
            </w:r>
            <w:proofErr w:type="spellStart"/>
            <w:r w:rsidRPr="0096439E">
              <w:rPr>
                <w:rFonts w:ascii="Calibri" w:eastAsia="Times New Roman" w:hAnsi="Calibri" w:cs="Calibri"/>
              </w:rPr>
              <w:t>equivalised</w:t>
            </w:r>
            <w:proofErr w:type="spellEnd"/>
            <w:r w:rsidRPr="0096439E">
              <w:rPr>
                <w:rFonts w:ascii="Calibri" w:eastAsia="Times New Roman" w:hAnsi="Calibri" w:cs="Calibri"/>
              </w:rPr>
              <w:t xml:space="preserve"> disposable income below the risk-of-poverty threshold, which is set at 60 % of the national median </w:t>
            </w:r>
            <w:proofErr w:type="spellStart"/>
            <w:r w:rsidRPr="0096439E">
              <w:rPr>
                <w:rFonts w:ascii="Calibri" w:eastAsia="Times New Roman" w:hAnsi="Calibri" w:cs="Calibri"/>
              </w:rPr>
              <w:t>equivalise</w:t>
            </w:r>
            <w:proofErr w:type="spellEnd"/>
          </w:p>
          <w:p w14:paraId="4A72CFFA" w14:textId="77777777" w:rsidR="0096439E" w:rsidRPr="0096439E" w:rsidRDefault="0096439E" w:rsidP="0096439E">
            <w:pPr>
              <w:spacing w:before="100" w:beforeAutospacing="1" w:after="10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t>Aus</w:t>
            </w:r>
            <w:proofErr w:type="spellEnd"/>
            <w:r w:rsidRPr="0096439E">
              <w:rPr>
                <w:rFonts w:ascii="Calibri" w:eastAsia="Times New Roman" w:hAnsi="Calibri" w:cs="Calibri"/>
                <w:i/>
                <w:iCs/>
                <w:color w:val="595959"/>
                <w:sz w:val="18"/>
                <w:szCs w:val="18"/>
              </w:rPr>
              <w:t xml:space="preserve"> &lt;</w:t>
            </w:r>
            <w:hyperlink r:id="rId17" w:history="1">
              <w:r w:rsidRPr="0096439E">
                <w:rPr>
                  <w:rFonts w:ascii="Calibri" w:eastAsia="Times New Roman" w:hAnsi="Calibri" w:cs="Calibri"/>
                  <w:i/>
                  <w:iCs/>
                  <w:color w:val="0000FF"/>
                  <w:sz w:val="18"/>
                  <w:szCs w:val="18"/>
                  <w:u w:val="single"/>
                </w:rPr>
                <w:t>https://ec.europa.eu/eurostat/web/products-datasets/-/sdg_01_10</w:t>
              </w:r>
            </w:hyperlink>
            <w:r w:rsidRPr="0096439E">
              <w:rPr>
                <w:rFonts w:ascii="Calibri" w:eastAsia="Times New Roman" w:hAnsi="Calibri" w:cs="Calibri"/>
                <w:i/>
                <w:iCs/>
                <w:color w:val="595959"/>
                <w:sz w:val="18"/>
                <w:szCs w:val="18"/>
              </w:rPr>
              <w:t xml:space="preserve">&gt; </w:t>
            </w:r>
          </w:p>
          <w:p w14:paraId="31A18B61"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 xml:space="preserve">In </w:t>
            </w:r>
            <w:proofErr w:type="spellStart"/>
            <w:r w:rsidRPr="0096439E">
              <w:rPr>
                <w:rFonts w:ascii="Calibri" w:eastAsia="Times New Roman" w:hAnsi="Calibri" w:cs="Calibri"/>
                <w:lang w:val="de-DE"/>
              </w:rPr>
              <w:t>Tsd</w:t>
            </w:r>
            <w:proofErr w:type="spellEnd"/>
            <w:r w:rsidRPr="0096439E">
              <w:rPr>
                <w:rFonts w:ascii="Calibri" w:eastAsia="Times New Roman" w:hAnsi="Calibri" w:cs="Calibri"/>
                <w:lang w:val="de-DE"/>
              </w:rPr>
              <w:t xml:space="preserve"> Personen oder Prozentsatz zur Bevölkerung des Landes</w:t>
            </w:r>
          </w:p>
        </w:tc>
      </w:tr>
      <w:tr w:rsidR="0096439E" w:rsidRPr="0096439E" w14:paraId="31825790"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444C4D"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Healthy life years by sex</w:t>
            </w:r>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01AC9" w14:textId="77777777" w:rsidR="0096439E" w:rsidRPr="0096439E" w:rsidRDefault="00D1572A" w:rsidP="0096439E">
            <w:pPr>
              <w:spacing w:after="0" w:line="240" w:lineRule="auto"/>
              <w:rPr>
                <w:rFonts w:ascii="Calibri" w:eastAsia="Times New Roman" w:hAnsi="Calibri" w:cs="Calibri"/>
                <w:lang w:val="de-DE"/>
              </w:rPr>
            </w:pPr>
            <w:hyperlink r:id="rId18" w:history="1">
              <w:r w:rsidR="0096439E" w:rsidRPr="0096439E">
                <w:rPr>
                  <w:rFonts w:ascii="Calibri" w:eastAsia="Times New Roman" w:hAnsi="Calibri" w:cs="Calibri"/>
                  <w:color w:val="0000FF"/>
                  <w:u w:val="single"/>
                  <w:lang w:val="de-DE"/>
                </w:rPr>
                <w:t>https://ec.europa.eu/eurostat/api/dissemination/sdmx/2.1/data/hlth_hlye/?format=SDMX-CSV&amp;lang=en&amp;label=both</w:t>
              </w:r>
            </w:hyperlink>
            <w:r w:rsidR="0096439E" w:rsidRPr="0096439E">
              <w:rPr>
                <w:rFonts w:ascii="Calibri" w:eastAsia="Times New Roman" w:hAnsi="Calibri" w:cs="Calibri"/>
                <w:lang w:val="de-DE"/>
              </w:rPr>
              <w:br/>
            </w:r>
            <w:hyperlink r:id="rId19" w:history="1">
              <w:r w:rsidR="0096439E" w:rsidRPr="0096439E">
                <w:rPr>
                  <w:rFonts w:ascii="Calibri" w:eastAsia="Times New Roman" w:hAnsi="Calibri" w:cs="Calibri"/>
                  <w:color w:val="0000FF"/>
                  <w:u w:val="single"/>
                  <w:lang w:val="de-DE"/>
                </w:rPr>
                <w:t>https://ec.europa.eu/eurostat/api/dissemination/sdmx/2.1/data/hlth_hlye/?format=SDMX-CSV&amp;lang=en&amp;label=both</w:t>
              </w:r>
            </w:hyperlink>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071C0"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We know people are living longer. However, do we live longer and better or do we gain only years of life in bad health?</w:t>
            </w:r>
          </w:p>
          <w:p w14:paraId="7398BFB1"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The indicator of healthy life years (HLY) measures the number of remaining years that a person of specific age is expected to live without any severe or moderate health problems. The notion of health problem for Eurostat's HLY is reflecting a disability dimension and is based on a self-perceived question which aims to measure the extent of any limitations, for at least six months, because of a health problem that may have affected respondents as regards activities they usually do (the so-called GALI - Global Activity Limitation Instrument foreseen in the annual EU-SILC survey). The indicator is therefor also called disability-free life expectancy (DFLE). So, HLY is a composite indicator that combines mortality data with health status data.</w:t>
            </w:r>
          </w:p>
          <w:p w14:paraId="45FEEDB3"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HLY also monitor health as a productive or economic factor. An increase in healthy life years is one of the main goals for European health policy. And it would not only improve the situation of individuals but also </w:t>
            </w:r>
            <w:r w:rsidRPr="0096439E">
              <w:rPr>
                <w:rFonts w:ascii="Calibri" w:eastAsia="Times New Roman" w:hAnsi="Calibri" w:cs="Calibri"/>
              </w:rPr>
              <w:lastRenderedPageBreak/>
              <w:t>result in lower levels of public health care expenditure. If healthy life years are increasing more rapidly than life expectancy, it means that people are living more years in better health.</w:t>
            </w:r>
          </w:p>
          <w:p w14:paraId="5FF1C45E"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Please note that a revision took place in March 2012: the whole series 2004-2010 were recalculated </w:t>
            </w:r>
            <w:proofErr w:type="gramStart"/>
            <w:r w:rsidRPr="0096439E">
              <w:rPr>
                <w:rFonts w:ascii="Calibri" w:eastAsia="Times New Roman" w:hAnsi="Calibri" w:cs="Calibri"/>
              </w:rPr>
              <w:t>taking into account</w:t>
            </w:r>
            <w:proofErr w:type="gramEnd"/>
            <w:r w:rsidRPr="0096439E">
              <w:rPr>
                <w:rFonts w:ascii="Calibri" w:eastAsia="Times New Roman" w:hAnsi="Calibri" w:cs="Calibri"/>
              </w:rPr>
              <w:t>:</w:t>
            </w:r>
          </w:p>
          <w:p w14:paraId="590729E8" w14:textId="77777777" w:rsidR="0096439E" w:rsidRPr="0096439E" w:rsidRDefault="0096439E" w:rsidP="0096439E">
            <w:pPr>
              <w:numPr>
                <w:ilvl w:val="0"/>
                <w:numId w:val="1"/>
              </w:numPr>
              <w:spacing w:after="0" w:line="240" w:lineRule="auto"/>
              <w:textAlignment w:val="center"/>
              <w:rPr>
                <w:rFonts w:ascii="Times New Roman" w:eastAsia="Times New Roman" w:hAnsi="Times New Roman" w:cs="Times New Roman"/>
                <w:sz w:val="24"/>
                <w:szCs w:val="24"/>
              </w:rPr>
            </w:pPr>
            <w:r w:rsidRPr="0096439E">
              <w:rPr>
                <w:rFonts w:ascii="Calibri" w:eastAsia="Times New Roman" w:hAnsi="Calibri" w:cs="Calibri"/>
              </w:rPr>
              <w:t xml:space="preserve">the use of the age at interview for the GALI </w:t>
            </w:r>
            <w:proofErr w:type="spellStart"/>
            <w:r w:rsidRPr="0096439E">
              <w:rPr>
                <w:rFonts w:ascii="Calibri" w:eastAsia="Times New Roman" w:hAnsi="Calibri" w:cs="Calibri"/>
              </w:rPr>
              <w:t>prevalences</w:t>
            </w:r>
            <w:proofErr w:type="spellEnd"/>
            <w:r w:rsidRPr="0096439E">
              <w:rPr>
                <w:rFonts w:ascii="Calibri" w:eastAsia="Times New Roman" w:hAnsi="Calibri" w:cs="Calibri"/>
              </w:rPr>
              <w:t xml:space="preserve"> instead of the age of the income period (as it is traditionally done for many </w:t>
            </w:r>
            <w:proofErr w:type="gramStart"/>
            <w:r w:rsidRPr="0096439E">
              <w:rPr>
                <w:rFonts w:ascii="Calibri" w:eastAsia="Times New Roman" w:hAnsi="Calibri" w:cs="Calibri"/>
              </w:rPr>
              <w:t>income</w:t>
            </w:r>
            <w:proofErr w:type="gramEnd"/>
            <w:r w:rsidRPr="0096439E">
              <w:rPr>
                <w:rFonts w:ascii="Calibri" w:eastAsia="Times New Roman" w:hAnsi="Calibri" w:cs="Calibri"/>
              </w:rPr>
              <w:t xml:space="preserve"> and living indicators); differences with the previous calculations on outcomes and trends are minimal</w:t>
            </w:r>
          </w:p>
          <w:p w14:paraId="02DF885F" w14:textId="77777777" w:rsidR="0096439E" w:rsidRPr="0096439E" w:rsidRDefault="0096439E" w:rsidP="0096439E">
            <w:pPr>
              <w:numPr>
                <w:ilvl w:val="0"/>
                <w:numId w:val="1"/>
              </w:numPr>
              <w:spacing w:after="0" w:line="240" w:lineRule="auto"/>
              <w:textAlignment w:val="center"/>
              <w:rPr>
                <w:rFonts w:ascii="Times New Roman" w:eastAsia="Times New Roman" w:hAnsi="Times New Roman" w:cs="Times New Roman"/>
                <w:sz w:val="24"/>
                <w:szCs w:val="24"/>
              </w:rPr>
            </w:pPr>
            <w:r w:rsidRPr="0096439E">
              <w:rPr>
                <w:rFonts w:ascii="Calibri" w:eastAsia="Times New Roman" w:hAnsi="Calibri" w:cs="Calibri"/>
              </w:rPr>
              <w:t>the latest versions of the EU-SILC and Mortality data</w:t>
            </w:r>
          </w:p>
          <w:p w14:paraId="547F44E1" w14:textId="77777777" w:rsidR="0096439E" w:rsidRPr="0096439E" w:rsidRDefault="0096439E" w:rsidP="0096439E">
            <w:pPr>
              <w:spacing w:before="100" w:beforeAutospacing="1" w:after="10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t>Aus</w:t>
            </w:r>
            <w:proofErr w:type="spellEnd"/>
            <w:r w:rsidRPr="0096439E">
              <w:rPr>
                <w:rFonts w:ascii="Calibri" w:eastAsia="Times New Roman" w:hAnsi="Calibri" w:cs="Calibri"/>
                <w:i/>
                <w:iCs/>
                <w:color w:val="595959"/>
                <w:sz w:val="18"/>
                <w:szCs w:val="18"/>
              </w:rPr>
              <w:t xml:space="preserve"> &lt;</w:t>
            </w:r>
            <w:hyperlink r:id="rId20" w:history="1">
              <w:r w:rsidRPr="0096439E">
                <w:rPr>
                  <w:rFonts w:ascii="Calibri" w:eastAsia="Times New Roman" w:hAnsi="Calibri" w:cs="Calibri"/>
                  <w:i/>
                  <w:iCs/>
                  <w:color w:val="0000FF"/>
                  <w:sz w:val="18"/>
                  <w:szCs w:val="18"/>
                  <w:u w:val="single"/>
                </w:rPr>
                <w:t>https://ec.europa.eu/eurostat/cache/metadata/en/hlth_hlye_esms.htm</w:t>
              </w:r>
            </w:hyperlink>
            <w:r w:rsidRPr="0096439E">
              <w:rPr>
                <w:rFonts w:ascii="Calibri" w:eastAsia="Times New Roman" w:hAnsi="Calibri" w:cs="Calibri"/>
                <w:i/>
                <w:iCs/>
                <w:color w:val="595959"/>
                <w:sz w:val="18"/>
                <w:szCs w:val="18"/>
              </w:rPr>
              <w:t xml:space="preserve">&gt; </w:t>
            </w:r>
          </w:p>
        </w:tc>
      </w:tr>
      <w:tr w:rsidR="0096439E" w:rsidRPr="0096439E" w14:paraId="2D29C42D"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60866"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lastRenderedPageBreak/>
              <w:t xml:space="preserve">Share of households and economic resources by income, consumption and wealth quantiles </w:t>
            </w:r>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D3023" w14:textId="77777777" w:rsidR="0096439E" w:rsidRPr="0096439E" w:rsidRDefault="00D1572A" w:rsidP="0096439E">
            <w:pPr>
              <w:spacing w:after="0" w:line="240" w:lineRule="auto"/>
              <w:rPr>
                <w:rFonts w:ascii="Calibri" w:eastAsia="Times New Roman" w:hAnsi="Calibri" w:cs="Calibri"/>
                <w:lang w:val="de-DE"/>
              </w:rPr>
            </w:pPr>
            <w:hyperlink r:id="rId21" w:history="1">
              <w:r w:rsidR="0096439E" w:rsidRPr="0096439E">
                <w:rPr>
                  <w:rFonts w:ascii="Calibri" w:eastAsia="Times New Roman" w:hAnsi="Calibri" w:cs="Calibri"/>
                  <w:color w:val="0000FF"/>
                  <w:u w:val="single"/>
                  <w:lang w:val="de-DE"/>
                </w:rPr>
                <w:t>https://ec.europa.eu/eurostat/api/dissemination/sdmx/2.1/data/icw_res_01/?format=SDMX-CSV&amp;lang=en&amp;label=both</w:t>
              </w:r>
            </w:hyperlink>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C6497" w14:textId="77777777" w:rsidR="0096439E" w:rsidRPr="0096439E" w:rsidRDefault="0096439E" w:rsidP="0096439E">
            <w:pPr>
              <w:spacing w:after="0" w:line="240" w:lineRule="auto"/>
              <w:rPr>
                <w:rFonts w:ascii="Calibri" w:eastAsia="Times New Roman" w:hAnsi="Calibri" w:cs="Calibri"/>
                <w:sz w:val="24"/>
                <w:szCs w:val="24"/>
              </w:rPr>
            </w:pPr>
            <w:r w:rsidRPr="0096439E">
              <w:rPr>
                <w:rFonts w:ascii="Calibri" w:eastAsia="Times New Roman" w:hAnsi="Calibri" w:cs="Calibri"/>
                <w:b/>
                <w:bCs/>
                <w:sz w:val="24"/>
                <w:szCs w:val="24"/>
              </w:rPr>
              <w:t>Share of households and economic resources by income, consumption and wealth quantiles - experimental statistics</w:t>
            </w:r>
          </w:p>
          <w:p w14:paraId="7D7BBF55" w14:textId="77777777" w:rsidR="0096439E" w:rsidRPr="0096439E" w:rsidRDefault="0096439E" w:rsidP="0096439E">
            <w:pPr>
              <w:spacing w:before="100" w:beforeAutospacing="1" w:after="10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t>Aus</w:t>
            </w:r>
            <w:proofErr w:type="spellEnd"/>
            <w:r w:rsidRPr="0096439E">
              <w:rPr>
                <w:rFonts w:ascii="Calibri" w:eastAsia="Times New Roman" w:hAnsi="Calibri" w:cs="Calibri"/>
                <w:i/>
                <w:iCs/>
                <w:color w:val="595959"/>
                <w:sz w:val="18"/>
                <w:szCs w:val="18"/>
              </w:rPr>
              <w:t xml:space="preserve"> &lt;</w:t>
            </w:r>
            <w:hyperlink r:id="rId22" w:history="1">
              <w:r w:rsidRPr="0096439E">
                <w:rPr>
                  <w:rFonts w:ascii="Calibri" w:eastAsia="Times New Roman" w:hAnsi="Calibri" w:cs="Calibri"/>
                  <w:i/>
                  <w:iCs/>
                  <w:color w:val="0000FF"/>
                  <w:sz w:val="18"/>
                  <w:szCs w:val="18"/>
                  <w:u w:val="single"/>
                </w:rPr>
                <w:t>https://ec.europa.eu/eurostat/databrowser/view/icw_res_01__custom_9389178/default/table?lang=en&amp;page=time:2020</w:t>
              </w:r>
            </w:hyperlink>
            <w:r w:rsidRPr="0096439E">
              <w:rPr>
                <w:rFonts w:ascii="Calibri" w:eastAsia="Times New Roman" w:hAnsi="Calibri" w:cs="Calibri"/>
                <w:i/>
                <w:iCs/>
                <w:color w:val="595959"/>
                <w:sz w:val="18"/>
                <w:szCs w:val="18"/>
              </w:rPr>
              <w:t xml:space="preserve">&gt; </w:t>
            </w:r>
          </w:p>
          <w:p w14:paraId="0F680EDA"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lang w:val="de-AT"/>
              </w:rPr>
              <w:t xml:space="preserve">Experimental </w:t>
            </w:r>
            <w:proofErr w:type="spellStart"/>
            <w:r w:rsidRPr="0096439E">
              <w:rPr>
                <w:rFonts w:ascii="Calibri" w:eastAsia="Times New Roman" w:hAnsi="Calibri" w:cs="Calibri"/>
                <w:lang w:val="de-AT"/>
              </w:rPr>
              <w:t>statistics</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use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b/>
                <w:bCs/>
                <w:lang w:val="de-DE"/>
              </w:rPr>
              <w:t>new</w:t>
            </w:r>
            <w:proofErr w:type="spellEnd"/>
            <w:r w:rsidRPr="0096439E">
              <w:rPr>
                <w:rFonts w:ascii="Calibri" w:eastAsia="Times New Roman" w:hAnsi="Calibri" w:cs="Calibri"/>
                <w:b/>
                <w:bCs/>
                <w:lang w:val="de-DE"/>
              </w:rPr>
              <w:t xml:space="preserve"> </w:t>
            </w:r>
            <w:proofErr w:type="spellStart"/>
            <w:r w:rsidRPr="0096439E">
              <w:rPr>
                <w:rFonts w:ascii="Calibri" w:eastAsia="Times New Roman" w:hAnsi="Calibri" w:cs="Calibri"/>
                <w:b/>
                <w:bCs/>
                <w:lang w:val="de-DE"/>
              </w:rPr>
              <w:t>data</w:t>
            </w:r>
            <w:proofErr w:type="spellEnd"/>
            <w:r w:rsidRPr="0096439E">
              <w:rPr>
                <w:rFonts w:ascii="Calibri" w:eastAsia="Times New Roman" w:hAnsi="Calibri" w:cs="Calibri"/>
                <w:b/>
                <w:bCs/>
                <w:lang w:val="de-DE"/>
              </w:rPr>
              <w:t xml:space="preserve"> </w:t>
            </w:r>
            <w:proofErr w:type="spellStart"/>
            <w:r w:rsidRPr="0096439E">
              <w:rPr>
                <w:rFonts w:ascii="Calibri" w:eastAsia="Times New Roman" w:hAnsi="Calibri" w:cs="Calibri"/>
                <w:b/>
                <w:bCs/>
                <w:lang w:val="de-DE"/>
              </w:rPr>
              <w:t>sources</w:t>
            </w:r>
            <w:proofErr w:type="spellEnd"/>
            <w:r w:rsidRPr="0096439E">
              <w:rPr>
                <w:rFonts w:ascii="Calibri" w:eastAsia="Times New Roman" w:hAnsi="Calibri" w:cs="Calibri"/>
                <w:b/>
                <w:bCs/>
                <w:lang w:val="de-DE"/>
              </w:rPr>
              <w:t xml:space="preserve"> and </w:t>
            </w:r>
            <w:proofErr w:type="spellStart"/>
            <w:r w:rsidRPr="0096439E">
              <w:rPr>
                <w:rFonts w:ascii="Calibri" w:eastAsia="Times New Roman" w:hAnsi="Calibri" w:cs="Calibri"/>
                <w:b/>
                <w:bCs/>
                <w:lang w:val="de-DE"/>
              </w:rPr>
              <w:t>methods</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to</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better</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respond</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to</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our</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users</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needs</w:t>
            </w:r>
            <w:proofErr w:type="spellEnd"/>
            <w:r w:rsidRPr="0096439E">
              <w:rPr>
                <w:rFonts w:ascii="Calibri" w:eastAsia="Times New Roman" w:hAnsi="Calibri" w:cs="Calibri"/>
                <w:lang w:val="de-AT"/>
              </w:rPr>
              <w:t xml:space="preserve"> in a </w:t>
            </w:r>
            <w:proofErr w:type="spellStart"/>
            <w:r w:rsidRPr="0096439E">
              <w:rPr>
                <w:rFonts w:ascii="Calibri" w:eastAsia="Times New Roman" w:hAnsi="Calibri" w:cs="Calibri"/>
                <w:lang w:val="de-AT"/>
              </w:rPr>
              <w:t>timely</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manner</w:t>
            </w:r>
            <w:proofErr w:type="spellEnd"/>
            <w:r w:rsidRPr="0096439E">
              <w:rPr>
                <w:rFonts w:ascii="Calibri" w:eastAsia="Times New Roman" w:hAnsi="Calibri" w:cs="Calibri"/>
                <w:lang w:val="de-AT"/>
              </w:rPr>
              <w:t>.</w:t>
            </w:r>
          </w:p>
          <w:p w14:paraId="260E751F" w14:textId="77777777" w:rsidR="0096439E" w:rsidRPr="0096439E" w:rsidRDefault="0096439E" w:rsidP="0096439E">
            <w:pPr>
              <w:spacing w:after="0" w:line="240" w:lineRule="auto"/>
              <w:rPr>
                <w:rFonts w:ascii="Calibri" w:eastAsia="Times New Roman" w:hAnsi="Calibri" w:cs="Calibri"/>
              </w:rPr>
            </w:pPr>
            <w:proofErr w:type="spellStart"/>
            <w:r w:rsidRPr="0096439E">
              <w:rPr>
                <w:rFonts w:ascii="Calibri" w:eastAsia="Times New Roman" w:hAnsi="Calibri" w:cs="Calibri"/>
                <w:lang w:val="de-AT"/>
              </w:rPr>
              <w:t>For</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example</w:t>
            </w:r>
            <w:proofErr w:type="spellEnd"/>
            <w:r w:rsidRPr="0096439E">
              <w:rPr>
                <w:rFonts w:ascii="Calibri" w:eastAsia="Times New Roman" w:hAnsi="Calibri" w:cs="Calibri"/>
                <w:lang w:val="de-AT"/>
              </w:rPr>
              <w:t xml:space="preserve">, Eurostat </w:t>
            </w:r>
            <w:proofErr w:type="spellStart"/>
            <w:r w:rsidRPr="0096439E">
              <w:rPr>
                <w:rFonts w:ascii="Calibri" w:eastAsia="Times New Roman" w:hAnsi="Calibri" w:cs="Calibri"/>
                <w:lang w:val="de-AT"/>
              </w:rPr>
              <w:t>is</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measuring</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the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relationship</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between</w:t>
            </w:r>
            <w:proofErr w:type="spellEnd"/>
            <w:r w:rsidRPr="0096439E">
              <w:rPr>
                <w:rFonts w:ascii="Calibri" w:eastAsia="Times New Roman" w:hAnsi="Calibri" w:cs="Calibri"/>
                <w:lang w:val="de-AT"/>
              </w:rPr>
              <w:t xml:space="preserve"> </w:t>
            </w:r>
            <w:hyperlink r:id="rId23" w:history="1">
              <w:proofErr w:type="spellStart"/>
              <w:r w:rsidRPr="0096439E">
                <w:rPr>
                  <w:rFonts w:ascii="Calibri" w:eastAsia="Times New Roman" w:hAnsi="Calibri" w:cs="Calibri"/>
                  <w:color w:val="0000FF"/>
                  <w:u w:val="single"/>
                  <w:lang w:val="de-DE"/>
                </w:rPr>
                <w:t>income</w:t>
              </w:r>
              <w:proofErr w:type="spellEnd"/>
              <w:r w:rsidRPr="0096439E">
                <w:rPr>
                  <w:rFonts w:ascii="Calibri" w:eastAsia="Times New Roman" w:hAnsi="Calibri" w:cs="Calibri"/>
                  <w:color w:val="0000FF"/>
                  <w:u w:val="single"/>
                  <w:lang w:val="de-DE"/>
                </w:rPr>
                <w:t xml:space="preserve">, </w:t>
              </w:r>
              <w:proofErr w:type="spellStart"/>
              <w:r w:rsidRPr="0096439E">
                <w:rPr>
                  <w:rFonts w:ascii="Calibri" w:eastAsia="Times New Roman" w:hAnsi="Calibri" w:cs="Calibri"/>
                  <w:color w:val="0000FF"/>
                  <w:u w:val="single"/>
                  <w:lang w:val="de-DE"/>
                </w:rPr>
                <w:t>consumption</w:t>
              </w:r>
              <w:proofErr w:type="spellEnd"/>
              <w:r w:rsidRPr="0096439E">
                <w:rPr>
                  <w:rFonts w:ascii="Calibri" w:eastAsia="Times New Roman" w:hAnsi="Calibri" w:cs="Calibri"/>
                  <w:color w:val="0000FF"/>
                  <w:u w:val="single"/>
                  <w:lang w:val="de-DE"/>
                </w:rPr>
                <w:t xml:space="preserve">, and </w:t>
              </w:r>
              <w:proofErr w:type="spellStart"/>
              <w:r w:rsidRPr="0096439E">
                <w:rPr>
                  <w:rFonts w:ascii="Calibri" w:eastAsia="Times New Roman" w:hAnsi="Calibri" w:cs="Calibri"/>
                  <w:color w:val="0000FF"/>
                  <w:u w:val="single"/>
                  <w:lang w:val="de-DE"/>
                </w:rPr>
                <w:t>wealth</w:t>
              </w:r>
              <w:proofErr w:type="spellEnd"/>
            </w:hyperlink>
            <w:r w:rsidRPr="0096439E">
              <w:rPr>
                <w:rFonts w:ascii="Calibri" w:eastAsia="Times New Roman" w:hAnsi="Calibri" w:cs="Calibri"/>
                <w:lang w:val="de-AT"/>
              </w:rPr>
              <w:t xml:space="preserve"> at </w:t>
            </w:r>
            <w:proofErr w:type="spellStart"/>
            <w:r w:rsidRPr="0096439E">
              <w:rPr>
                <w:rFonts w:ascii="Calibri" w:eastAsia="Times New Roman" w:hAnsi="Calibri" w:cs="Calibri"/>
                <w:lang w:val="de-AT"/>
              </w:rPr>
              <w:t>household</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level</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Another</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example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is</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the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use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of</w:t>
            </w:r>
            <w:proofErr w:type="spellEnd"/>
            <w:r w:rsidRPr="0096439E">
              <w:rPr>
                <w:rFonts w:ascii="Calibri" w:eastAsia="Times New Roman" w:hAnsi="Calibri" w:cs="Calibri"/>
                <w:lang w:val="de-AT"/>
              </w:rPr>
              <w:t xml:space="preserve"> Wikipedia </w:t>
            </w:r>
            <w:proofErr w:type="spellStart"/>
            <w:r w:rsidRPr="0096439E">
              <w:rPr>
                <w:rFonts w:ascii="Calibri" w:eastAsia="Times New Roman" w:hAnsi="Calibri" w:cs="Calibri"/>
                <w:lang w:val="de-AT"/>
              </w:rPr>
              <w:t>as</w:t>
            </w:r>
            <w:proofErr w:type="spellEnd"/>
            <w:r w:rsidRPr="0096439E">
              <w:rPr>
                <w:rFonts w:ascii="Calibri" w:eastAsia="Times New Roman" w:hAnsi="Calibri" w:cs="Calibri"/>
                <w:lang w:val="de-AT"/>
              </w:rPr>
              <w:t xml:space="preserve"> a </w:t>
            </w:r>
            <w:proofErr w:type="spellStart"/>
            <w:r w:rsidRPr="0096439E">
              <w:rPr>
                <w:rFonts w:ascii="Calibri" w:eastAsia="Times New Roman" w:hAnsi="Calibri" w:cs="Calibri"/>
                <w:lang w:val="de-AT"/>
              </w:rPr>
              <w:t>new</w:t>
            </w:r>
            <w:proofErr w:type="spellEnd"/>
            <w:r w:rsidRPr="0096439E">
              <w:rPr>
                <w:rFonts w:ascii="Calibri" w:eastAsia="Times New Roman" w:hAnsi="Calibri" w:cs="Calibri"/>
                <w:lang w:val="de-AT"/>
              </w:rPr>
              <w:t xml:space="preserve"> source </w:t>
            </w:r>
            <w:proofErr w:type="spellStart"/>
            <w:r w:rsidRPr="0096439E">
              <w:rPr>
                <w:rFonts w:ascii="Calibri" w:eastAsia="Times New Roman" w:hAnsi="Calibri" w:cs="Calibri"/>
                <w:lang w:val="de-AT"/>
              </w:rPr>
              <w:t>to</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produce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statistics</w:t>
            </w:r>
            <w:proofErr w:type="spellEnd"/>
            <w:r w:rsidRPr="0096439E">
              <w:rPr>
                <w:rFonts w:ascii="Calibri" w:eastAsia="Times New Roman" w:hAnsi="Calibri" w:cs="Calibri"/>
                <w:lang w:val="de-AT"/>
              </w:rPr>
              <w:t xml:space="preserve"> on </w:t>
            </w:r>
            <w:proofErr w:type="spellStart"/>
            <w:r w:rsidRPr="0096439E">
              <w:rPr>
                <w:rFonts w:ascii="Calibri" w:eastAsia="Times New Roman" w:hAnsi="Calibri" w:cs="Calibri"/>
                <w:lang w:val="de-AT"/>
              </w:rPr>
              <w:t>the</w:t>
            </w:r>
            <w:proofErr w:type="spellEnd"/>
            <w:r w:rsidRPr="0096439E">
              <w:rPr>
                <w:rFonts w:ascii="Calibri" w:eastAsia="Times New Roman" w:hAnsi="Calibri" w:cs="Calibri"/>
                <w:lang w:val="de-AT"/>
              </w:rPr>
              <w:t xml:space="preserve"> </w:t>
            </w:r>
            <w:hyperlink r:id="rId24" w:history="1">
              <w:proofErr w:type="spellStart"/>
              <w:r w:rsidRPr="0096439E">
                <w:rPr>
                  <w:rFonts w:ascii="Calibri" w:eastAsia="Times New Roman" w:hAnsi="Calibri" w:cs="Calibri"/>
                  <w:color w:val="0000FF"/>
                  <w:u w:val="single"/>
                  <w:lang w:val="de-DE"/>
                </w:rPr>
                <w:t>visits</w:t>
              </w:r>
              <w:proofErr w:type="spellEnd"/>
              <w:r w:rsidRPr="0096439E">
                <w:rPr>
                  <w:rFonts w:ascii="Calibri" w:eastAsia="Times New Roman" w:hAnsi="Calibri" w:cs="Calibri"/>
                  <w:color w:val="0000FF"/>
                  <w:u w:val="single"/>
                  <w:lang w:val="de-DE"/>
                </w:rPr>
                <w:t xml:space="preserve"> to UNESCO </w:t>
              </w:r>
              <w:proofErr w:type="spellStart"/>
              <w:r w:rsidRPr="0096439E">
                <w:rPr>
                  <w:rFonts w:ascii="Calibri" w:eastAsia="Times New Roman" w:hAnsi="Calibri" w:cs="Calibri"/>
                  <w:color w:val="0000FF"/>
                  <w:u w:val="single"/>
                  <w:lang w:val="de-DE"/>
                </w:rPr>
                <w:t>world</w:t>
              </w:r>
              <w:proofErr w:type="spellEnd"/>
              <w:r w:rsidRPr="0096439E">
                <w:rPr>
                  <w:rFonts w:ascii="Calibri" w:eastAsia="Times New Roman" w:hAnsi="Calibri" w:cs="Calibri"/>
                  <w:color w:val="0000FF"/>
                  <w:u w:val="single"/>
                  <w:lang w:val="de-DE"/>
                </w:rPr>
                <w:t xml:space="preserve"> </w:t>
              </w:r>
              <w:proofErr w:type="spellStart"/>
              <w:r w:rsidRPr="0096439E">
                <w:rPr>
                  <w:rFonts w:ascii="Calibri" w:eastAsia="Times New Roman" w:hAnsi="Calibri" w:cs="Calibri"/>
                  <w:color w:val="0000FF"/>
                  <w:u w:val="single"/>
                  <w:lang w:val="de-DE"/>
                </w:rPr>
                <w:t>heritage</w:t>
              </w:r>
              <w:proofErr w:type="spellEnd"/>
              <w:r w:rsidRPr="0096439E">
                <w:rPr>
                  <w:rFonts w:ascii="Calibri" w:eastAsia="Times New Roman" w:hAnsi="Calibri" w:cs="Calibri"/>
                  <w:color w:val="0000FF"/>
                  <w:u w:val="single"/>
                  <w:lang w:val="de-DE"/>
                </w:rPr>
                <w:t xml:space="preserve"> </w:t>
              </w:r>
              <w:proofErr w:type="spellStart"/>
              <w:r w:rsidRPr="0096439E">
                <w:rPr>
                  <w:rFonts w:ascii="Calibri" w:eastAsia="Times New Roman" w:hAnsi="Calibri" w:cs="Calibri"/>
                  <w:color w:val="0000FF"/>
                  <w:u w:val="single"/>
                  <w:lang w:val="de-DE"/>
                </w:rPr>
                <w:t>sites</w:t>
              </w:r>
              <w:proofErr w:type="spellEnd"/>
            </w:hyperlink>
            <w:r w:rsidRPr="0096439E">
              <w:rPr>
                <w:rFonts w:ascii="Calibri" w:eastAsia="Times New Roman" w:hAnsi="Calibri" w:cs="Calibri"/>
                <w:lang w:val="de-AT"/>
              </w:rPr>
              <w:t xml:space="preserve">. This </w:t>
            </w:r>
            <w:proofErr w:type="spellStart"/>
            <w:r w:rsidRPr="0096439E">
              <w:rPr>
                <w:rFonts w:ascii="Calibri" w:eastAsia="Times New Roman" w:hAnsi="Calibri" w:cs="Calibri"/>
                <w:lang w:val="de-AT"/>
              </w:rPr>
              <w:t>measures</w:t>
            </w:r>
            <w:proofErr w:type="spellEnd"/>
            <w:r w:rsidRPr="0096439E">
              <w:rPr>
                <w:rFonts w:ascii="Calibri" w:eastAsia="Times New Roman" w:hAnsi="Calibri" w:cs="Calibri"/>
                <w:lang w:val="de-AT"/>
              </w:rPr>
              <w:t xml:space="preserve"> not </w:t>
            </w:r>
            <w:proofErr w:type="spellStart"/>
            <w:r w:rsidRPr="0096439E">
              <w:rPr>
                <w:rFonts w:ascii="Calibri" w:eastAsia="Times New Roman" w:hAnsi="Calibri" w:cs="Calibri"/>
                <w:lang w:val="de-AT"/>
              </w:rPr>
              <w:t>only</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the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popularity</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of</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the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sites</w:t>
            </w:r>
            <w:proofErr w:type="spellEnd"/>
            <w:r w:rsidRPr="0096439E">
              <w:rPr>
                <w:rFonts w:ascii="Calibri" w:eastAsia="Times New Roman" w:hAnsi="Calibri" w:cs="Calibri"/>
                <w:lang w:val="de-AT"/>
              </w:rPr>
              <w:t xml:space="preserve">, but also </w:t>
            </w:r>
            <w:proofErr w:type="spellStart"/>
            <w:r w:rsidRPr="0096439E">
              <w:rPr>
                <w:rFonts w:ascii="Calibri" w:eastAsia="Times New Roman" w:hAnsi="Calibri" w:cs="Calibri"/>
                <w:lang w:val="de-AT"/>
              </w:rPr>
              <w:t>the</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public's</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cultural</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consumption</w:t>
            </w:r>
            <w:proofErr w:type="spellEnd"/>
            <w:r w:rsidRPr="0096439E">
              <w:rPr>
                <w:rFonts w:ascii="Calibri" w:eastAsia="Times New Roman" w:hAnsi="Calibri" w:cs="Calibri"/>
                <w:lang w:val="de-AT"/>
              </w:rPr>
              <w:t>.</w:t>
            </w:r>
          </w:p>
          <w:p w14:paraId="13AFFB62"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As these statistics have not reached full maturity in terms of </w:t>
            </w:r>
            <w:proofErr w:type="spellStart"/>
            <w:r w:rsidRPr="0096439E">
              <w:rPr>
                <w:rFonts w:ascii="Calibri" w:eastAsia="Times New Roman" w:hAnsi="Calibri" w:cs="Calibri"/>
              </w:rPr>
              <w:t>harmonisation</w:t>
            </w:r>
            <w:proofErr w:type="spellEnd"/>
            <w:r w:rsidRPr="0096439E">
              <w:rPr>
                <w:rFonts w:ascii="Calibri" w:eastAsia="Times New Roman" w:hAnsi="Calibri" w:cs="Calibri"/>
              </w:rPr>
              <w:t>, coverage or methodology, they are always marked as experimental and are accompanied by detailed methodological notes.</w:t>
            </w:r>
          </w:p>
          <w:p w14:paraId="614B9F43" w14:textId="77777777" w:rsidR="0096439E" w:rsidRPr="0096439E" w:rsidRDefault="0096439E" w:rsidP="0096439E">
            <w:pPr>
              <w:spacing w:before="100" w:beforeAutospacing="1" w:after="10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t>Aus</w:t>
            </w:r>
            <w:proofErr w:type="spellEnd"/>
            <w:r w:rsidRPr="0096439E">
              <w:rPr>
                <w:rFonts w:ascii="Calibri" w:eastAsia="Times New Roman" w:hAnsi="Calibri" w:cs="Calibri"/>
                <w:i/>
                <w:iCs/>
                <w:color w:val="595959"/>
                <w:sz w:val="18"/>
                <w:szCs w:val="18"/>
              </w:rPr>
              <w:t xml:space="preserve"> &lt;</w:t>
            </w:r>
            <w:hyperlink r:id="rId25" w:history="1">
              <w:r w:rsidRPr="0096439E">
                <w:rPr>
                  <w:rFonts w:ascii="Calibri" w:eastAsia="Times New Roman" w:hAnsi="Calibri" w:cs="Calibri"/>
                  <w:i/>
                  <w:iCs/>
                  <w:color w:val="0000FF"/>
                  <w:sz w:val="18"/>
                  <w:szCs w:val="18"/>
                  <w:u w:val="single"/>
                </w:rPr>
                <w:t>https://ec.europa.eu/eurostat/web/experimental-statistics</w:t>
              </w:r>
            </w:hyperlink>
            <w:r w:rsidRPr="0096439E">
              <w:rPr>
                <w:rFonts w:ascii="Calibri" w:eastAsia="Times New Roman" w:hAnsi="Calibri" w:cs="Calibri"/>
                <w:i/>
                <w:iCs/>
                <w:color w:val="595959"/>
                <w:sz w:val="18"/>
                <w:szCs w:val="18"/>
              </w:rPr>
              <w:t xml:space="preserve">&gt; </w:t>
            </w:r>
          </w:p>
        </w:tc>
      </w:tr>
      <w:tr w:rsidR="0096439E" w:rsidRPr="0096439E" w14:paraId="46BA12E5"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7CF56"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t xml:space="preserve">ICT </w:t>
            </w:r>
            <w:proofErr w:type="spellStart"/>
            <w:r w:rsidRPr="0096439E">
              <w:rPr>
                <w:rFonts w:ascii="Calibri" w:eastAsia="Times New Roman" w:hAnsi="Calibri" w:cs="Calibri"/>
                <w:lang w:val="de-DE"/>
              </w:rPr>
              <w:t>usage</w:t>
            </w:r>
            <w:proofErr w:type="spellEnd"/>
            <w:r w:rsidRPr="0096439E">
              <w:rPr>
                <w:rFonts w:ascii="Calibri" w:eastAsia="Times New Roman" w:hAnsi="Calibri" w:cs="Calibri"/>
                <w:lang w:val="de-DE"/>
              </w:rPr>
              <w:t xml:space="preserve"> in </w:t>
            </w:r>
            <w:proofErr w:type="spellStart"/>
            <w:r w:rsidRPr="0096439E">
              <w:rPr>
                <w:rFonts w:ascii="Calibri" w:eastAsia="Times New Roman" w:hAnsi="Calibri" w:cs="Calibri"/>
                <w:lang w:val="de-DE"/>
              </w:rPr>
              <w:t>households</w:t>
            </w:r>
            <w:proofErr w:type="spellEnd"/>
            <w:r w:rsidRPr="0096439E">
              <w:rPr>
                <w:rFonts w:ascii="Calibri" w:eastAsia="Times New Roman" w:hAnsi="Calibri" w:cs="Calibri"/>
                <w:lang w:val="de-DE"/>
              </w:rPr>
              <w:t xml:space="preserve"> and </w:t>
            </w:r>
            <w:proofErr w:type="spellStart"/>
            <w:r w:rsidRPr="0096439E">
              <w:rPr>
                <w:rFonts w:ascii="Calibri" w:eastAsia="Times New Roman" w:hAnsi="Calibri" w:cs="Calibri"/>
                <w:lang w:val="de-DE"/>
              </w:rPr>
              <w:t>by</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individuals</w:t>
            </w:r>
            <w:proofErr w:type="spellEnd"/>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8258B" w14:textId="77777777" w:rsidR="0096439E" w:rsidRDefault="00D1572A" w:rsidP="0096439E">
            <w:pPr>
              <w:spacing w:after="0" w:line="240" w:lineRule="auto"/>
              <w:rPr>
                <w:rFonts w:ascii="Calibri" w:eastAsia="Times New Roman" w:hAnsi="Calibri" w:cs="Calibri"/>
                <w:color w:val="0000FF"/>
                <w:u w:val="single"/>
                <w:lang w:val="de-DE"/>
              </w:rPr>
            </w:pPr>
            <w:hyperlink r:id="rId26" w:history="1">
              <w:r w:rsidR="0096439E" w:rsidRPr="0096439E">
                <w:rPr>
                  <w:rFonts w:ascii="Calibri" w:eastAsia="Times New Roman" w:hAnsi="Calibri" w:cs="Calibri"/>
                  <w:color w:val="0000FF"/>
                  <w:u w:val="single"/>
                  <w:lang w:val="de-DE"/>
                </w:rPr>
                <w:t>https://ec.europa.eu/eurostat/databrowser/view/isoc_ci_ac_i/default/table?lang=en</w:t>
              </w:r>
            </w:hyperlink>
          </w:p>
          <w:p w14:paraId="068BB99E" w14:textId="77777777" w:rsidR="00D1572A" w:rsidRDefault="00D1572A" w:rsidP="0096439E">
            <w:pPr>
              <w:spacing w:after="0" w:line="240" w:lineRule="auto"/>
              <w:rPr>
                <w:rFonts w:ascii="Calibri" w:eastAsia="Times New Roman" w:hAnsi="Calibri" w:cs="Calibri"/>
                <w:lang w:val="de-DE"/>
              </w:rPr>
            </w:pPr>
          </w:p>
          <w:p w14:paraId="2D64E147" w14:textId="77777777" w:rsidR="00D1572A" w:rsidRDefault="00D1572A" w:rsidP="0096439E">
            <w:pPr>
              <w:spacing w:after="0" w:line="240" w:lineRule="auto"/>
              <w:rPr>
                <w:rFonts w:ascii="Calibri" w:eastAsia="Times New Roman" w:hAnsi="Calibri" w:cs="Calibri"/>
                <w:lang w:val="de-DE"/>
              </w:rPr>
            </w:pPr>
          </w:p>
          <w:p w14:paraId="2CF1F029" w14:textId="0ACDF0DD" w:rsidR="00D1572A" w:rsidRDefault="00D1572A" w:rsidP="0096439E">
            <w:pPr>
              <w:spacing w:after="0" w:line="240" w:lineRule="auto"/>
              <w:rPr>
                <w:rFonts w:ascii="Calibri" w:eastAsia="Times New Roman" w:hAnsi="Calibri" w:cs="Calibri"/>
                <w:lang w:val="de-DE"/>
              </w:rPr>
            </w:pPr>
            <w:hyperlink r:id="rId27" w:history="1">
              <w:r w:rsidRPr="009639E5">
                <w:rPr>
                  <w:rStyle w:val="Hyperlink"/>
                  <w:rFonts w:ascii="Calibri" w:eastAsia="Times New Roman" w:hAnsi="Calibri" w:cs="Calibri"/>
                  <w:lang w:val="de-DE"/>
                </w:rPr>
                <w:t>https://ec.europa.eu/eurostat/api/dissemination/sdmx/2.1/data/isoc_ci_ac_i/?format=SDMX-CSV&amp;lang=en&amp;label=both</w:t>
              </w:r>
            </w:hyperlink>
          </w:p>
          <w:p w14:paraId="61B9D9AD" w14:textId="34B20837" w:rsidR="00D1572A" w:rsidRPr="0096439E" w:rsidRDefault="00D1572A" w:rsidP="0096439E">
            <w:pPr>
              <w:spacing w:after="0" w:line="240" w:lineRule="auto"/>
              <w:rPr>
                <w:rFonts w:ascii="Calibri" w:eastAsia="Times New Roman" w:hAnsi="Calibri" w:cs="Calibri"/>
                <w:lang w:val="de-DE"/>
              </w:rPr>
            </w:pPr>
            <w:bookmarkStart w:id="0" w:name="_GoBack"/>
            <w:bookmarkEnd w:id="0"/>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0ADF8"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lastRenderedPageBreak/>
              <w:t xml:space="preserve">Internet use: doing an online course (of any </w:t>
            </w:r>
            <w:proofErr w:type="gramStart"/>
            <w:r w:rsidRPr="0096439E">
              <w:rPr>
                <w:rFonts w:ascii="Calibri" w:eastAsia="Times New Roman" w:hAnsi="Calibri" w:cs="Calibri"/>
              </w:rPr>
              <w:t>subject)[</w:t>
            </w:r>
            <w:proofErr w:type="gramEnd"/>
            <w:r w:rsidRPr="0096439E">
              <w:rPr>
                <w:rFonts w:ascii="Calibri" w:eastAsia="Times New Roman" w:hAnsi="Calibri" w:cs="Calibri"/>
              </w:rPr>
              <w:t>I_IUOLC]</w:t>
            </w:r>
          </w:p>
          <w:p w14:paraId="137EE10F"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Internet use: telephoning or video calls[I_IUPH1]</w:t>
            </w:r>
          </w:p>
          <w:p w14:paraId="058CA763"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Internet use: participating in social networks (creating user profile, posting messages or other contributions to </w:t>
            </w:r>
            <w:proofErr w:type="spellStart"/>
            <w:r w:rsidRPr="0096439E">
              <w:rPr>
                <w:rFonts w:ascii="Calibri" w:eastAsia="Times New Roman" w:hAnsi="Calibri" w:cs="Calibri"/>
              </w:rPr>
              <w:t>facebook</w:t>
            </w:r>
            <w:proofErr w:type="spellEnd"/>
            <w:r w:rsidRPr="0096439E">
              <w:rPr>
                <w:rFonts w:ascii="Calibri" w:eastAsia="Times New Roman" w:hAnsi="Calibri" w:cs="Calibri"/>
              </w:rPr>
              <w:t xml:space="preserve">, twitter, </w:t>
            </w:r>
            <w:proofErr w:type="gramStart"/>
            <w:r w:rsidRPr="0096439E">
              <w:rPr>
                <w:rFonts w:ascii="Calibri" w:eastAsia="Times New Roman" w:hAnsi="Calibri" w:cs="Calibri"/>
              </w:rPr>
              <w:t>etc.)[</w:t>
            </w:r>
            <w:proofErr w:type="gramEnd"/>
            <w:r w:rsidRPr="0096439E">
              <w:rPr>
                <w:rFonts w:ascii="Calibri" w:eastAsia="Times New Roman" w:hAnsi="Calibri" w:cs="Calibri"/>
              </w:rPr>
              <w:t>I_IUSNET]</w:t>
            </w:r>
          </w:p>
          <w:p w14:paraId="7FFE3782"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Internet use: finding information about goods and services[I_IUIF]</w:t>
            </w:r>
          </w:p>
          <w:p w14:paraId="56A47F6B"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Internet use: reading online news sites/newspapers/news magazines[I_IUNW1]</w:t>
            </w:r>
          </w:p>
          <w:p w14:paraId="7FB91C2F"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lang w:val="de-DE"/>
              </w:rPr>
              <w:lastRenderedPageBreak/>
              <w:t>I</w:t>
            </w:r>
            <w:proofErr w:type="spellStart"/>
            <w:r w:rsidRPr="0096439E">
              <w:rPr>
                <w:rFonts w:ascii="Calibri" w:eastAsia="Times New Roman" w:hAnsi="Calibri" w:cs="Calibri"/>
                <w:lang w:val="de-AT"/>
              </w:rPr>
              <w:t>nternet</w:t>
            </w:r>
            <w:proofErr w:type="spellEnd"/>
            <w:r w:rsidRPr="0096439E">
              <w:rPr>
                <w:rFonts w:ascii="Calibri" w:eastAsia="Times New Roman" w:hAnsi="Calibri" w:cs="Calibri"/>
                <w:lang w:val="de-AT"/>
              </w:rPr>
              <w:t xml:space="preserve"> </w:t>
            </w:r>
            <w:proofErr w:type="spellStart"/>
            <w:r w:rsidRPr="0096439E">
              <w:rPr>
                <w:rFonts w:ascii="Calibri" w:eastAsia="Times New Roman" w:hAnsi="Calibri" w:cs="Calibri"/>
                <w:lang w:val="de-AT"/>
              </w:rPr>
              <w:t>use</w:t>
            </w:r>
            <w:proofErr w:type="spellEnd"/>
            <w:r w:rsidRPr="0096439E">
              <w:rPr>
                <w:rFonts w:ascii="Calibri" w:eastAsia="Times New Roman" w:hAnsi="Calibri" w:cs="Calibri"/>
                <w:lang w:val="de-AT"/>
              </w:rPr>
              <w:t xml:space="preserve">: Internet </w:t>
            </w:r>
            <w:proofErr w:type="spellStart"/>
            <w:r w:rsidRPr="0096439E">
              <w:rPr>
                <w:rFonts w:ascii="Calibri" w:eastAsia="Times New Roman" w:hAnsi="Calibri" w:cs="Calibri"/>
                <w:lang w:val="de-AT"/>
              </w:rPr>
              <w:t>banking</w:t>
            </w:r>
            <w:proofErr w:type="spellEnd"/>
            <w:r w:rsidRPr="0096439E">
              <w:rPr>
                <w:rFonts w:ascii="Calibri" w:eastAsia="Times New Roman" w:hAnsi="Calibri" w:cs="Calibri"/>
                <w:lang w:val="de-AT"/>
              </w:rPr>
              <w:t>[I_IUBK]</w:t>
            </w:r>
          </w:p>
          <w:p w14:paraId="7B7B41FD"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Internet use: travel and accommodation services[I_IUHOLS]</w:t>
            </w:r>
          </w:p>
          <w:p w14:paraId="429F7E1F"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Internet use: selling goods or services[I_IUSELL]</w:t>
            </w:r>
          </w:p>
          <w:p w14:paraId="7BB644CC"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Internet use: making an appointment with a practitioner via a website[I_IUMAPP]</w:t>
            </w:r>
          </w:p>
          <w:p w14:paraId="1A7A48A3"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Internet use: seeking health information[I_IHIF]</w:t>
            </w:r>
          </w:p>
          <w:p w14:paraId="604158E0"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Internet use: reading and posting opinions on civic or political issues via websites[I_IUPOL]</w:t>
            </w:r>
          </w:p>
          <w:p w14:paraId="45FB640A"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Internet use: taking part in on-line consultations or voting to define civic or political issues (e.g. urban planning, signing a </w:t>
            </w:r>
            <w:proofErr w:type="gramStart"/>
            <w:r w:rsidRPr="0096439E">
              <w:rPr>
                <w:rFonts w:ascii="Calibri" w:eastAsia="Times New Roman" w:hAnsi="Calibri" w:cs="Calibri"/>
              </w:rPr>
              <w:t>petition)[</w:t>
            </w:r>
            <w:proofErr w:type="gramEnd"/>
            <w:r w:rsidRPr="0096439E">
              <w:rPr>
                <w:rFonts w:ascii="Calibri" w:eastAsia="Times New Roman" w:hAnsi="Calibri" w:cs="Calibri"/>
              </w:rPr>
              <w:t>I_IUVOTE]</w:t>
            </w:r>
          </w:p>
          <w:p w14:paraId="5839A53B"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Internet use: expressing opinions on civic or political issues on websites or in social media (e.g. Facebook, Twitter, Instagram, </w:t>
            </w:r>
            <w:proofErr w:type="gramStart"/>
            <w:r w:rsidRPr="0096439E">
              <w:rPr>
                <w:rFonts w:ascii="Calibri" w:eastAsia="Times New Roman" w:hAnsi="Calibri" w:cs="Calibri"/>
              </w:rPr>
              <w:t>YouTube)[</w:t>
            </w:r>
            <w:proofErr w:type="gramEnd"/>
            <w:r w:rsidRPr="0096439E">
              <w:rPr>
                <w:rFonts w:ascii="Calibri" w:eastAsia="Times New Roman" w:hAnsi="Calibri" w:cs="Calibri"/>
              </w:rPr>
              <w:t>I_IUPOL2]</w:t>
            </w:r>
          </w:p>
          <w:p w14:paraId="36849ADB"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 xml:space="preserve">Internet use: posting opinions on civic or political issues via websites (e.g. blogs, social networks, etc.) (until </w:t>
            </w:r>
            <w:proofErr w:type="gramStart"/>
            <w:r w:rsidRPr="0096439E">
              <w:rPr>
                <w:rFonts w:ascii="Calibri" w:eastAsia="Times New Roman" w:hAnsi="Calibri" w:cs="Calibri"/>
              </w:rPr>
              <w:t>2019)[</w:t>
            </w:r>
            <w:proofErr w:type="gramEnd"/>
            <w:r w:rsidRPr="0096439E">
              <w:rPr>
                <w:rFonts w:ascii="Calibri" w:eastAsia="Times New Roman" w:hAnsi="Calibri" w:cs="Calibri"/>
              </w:rPr>
              <w:t>I_IUPOL1]</w:t>
            </w:r>
          </w:p>
          <w:p w14:paraId="183595E8" w14:textId="77777777" w:rsidR="0096439E" w:rsidRPr="0096439E" w:rsidRDefault="0096439E" w:rsidP="0096439E">
            <w:pPr>
              <w:spacing w:after="0" w:line="240" w:lineRule="auto"/>
              <w:rPr>
                <w:rFonts w:ascii="Calibri" w:eastAsia="Times New Roman" w:hAnsi="Calibri" w:cs="Calibri"/>
              </w:rPr>
            </w:pPr>
            <w:r w:rsidRPr="0096439E">
              <w:rPr>
                <w:rFonts w:ascii="Calibri" w:eastAsia="Times New Roman" w:hAnsi="Calibri" w:cs="Calibri"/>
              </w:rPr>
              <w:t>Internet use: civic or political participation[I_IUCPP]</w:t>
            </w:r>
          </w:p>
          <w:p w14:paraId="5AC4B0A8" w14:textId="77777777" w:rsidR="0096439E" w:rsidRPr="0096439E" w:rsidRDefault="0096439E" w:rsidP="0096439E">
            <w:pPr>
              <w:spacing w:before="100" w:beforeAutospacing="1" w:after="10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t>Aus</w:t>
            </w:r>
            <w:proofErr w:type="spellEnd"/>
            <w:r w:rsidRPr="0096439E">
              <w:rPr>
                <w:rFonts w:ascii="Calibri" w:eastAsia="Times New Roman" w:hAnsi="Calibri" w:cs="Calibri"/>
                <w:i/>
                <w:iCs/>
                <w:color w:val="595959"/>
                <w:sz w:val="18"/>
                <w:szCs w:val="18"/>
              </w:rPr>
              <w:t xml:space="preserve"> &lt;</w:t>
            </w:r>
            <w:hyperlink r:id="rId28" w:history="1">
              <w:r w:rsidRPr="0096439E">
                <w:rPr>
                  <w:rFonts w:ascii="Calibri" w:eastAsia="Times New Roman" w:hAnsi="Calibri" w:cs="Calibri"/>
                  <w:i/>
                  <w:iCs/>
                  <w:color w:val="0000FF"/>
                  <w:sz w:val="18"/>
                  <w:szCs w:val="18"/>
                  <w:u w:val="single"/>
                </w:rPr>
                <w:t>https://ec.europa.eu/eurostat/databrowser/view/isoc_ci_ac_i/default/table?lang=en</w:t>
              </w:r>
            </w:hyperlink>
            <w:r w:rsidRPr="0096439E">
              <w:rPr>
                <w:rFonts w:ascii="Calibri" w:eastAsia="Times New Roman" w:hAnsi="Calibri" w:cs="Calibri"/>
                <w:i/>
                <w:iCs/>
                <w:color w:val="595959"/>
                <w:sz w:val="18"/>
                <w:szCs w:val="18"/>
              </w:rPr>
              <w:t xml:space="preserve">&gt; </w:t>
            </w:r>
            <w:r w:rsidRPr="0096439E">
              <w:rPr>
                <w:rFonts w:ascii="Calibri" w:eastAsia="Times New Roman" w:hAnsi="Calibri" w:cs="Calibri"/>
                <w:lang w:val="de-DE"/>
              </w:rPr>
              <w:t> </w:t>
            </w:r>
          </w:p>
        </w:tc>
      </w:tr>
      <w:tr w:rsidR="0096439E" w:rsidRPr="0096439E" w14:paraId="070F6E5B" w14:textId="77777777" w:rsidTr="0096439E">
        <w:tc>
          <w:tcPr>
            <w:tcW w:w="1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3AA50" w14:textId="77777777" w:rsidR="0096439E" w:rsidRPr="0096439E" w:rsidRDefault="0096439E" w:rsidP="0096439E">
            <w:pPr>
              <w:spacing w:after="0" w:line="240" w:lineRule="auto"/>
              <w:rPr>
                <w:rFonts w:ascii="Calibri" w:eastAsia="Times New Roman" w:hAnsi="Calibri" w:cs="Calibri"/>
                <w:lang w:val="de-DE"/>
              </w:rPr>
            </w:pPr>
            <w:r w:rsidRPr="0096439E">
              <w:rPr>
                <w:rFonts w:ascii="Calibri" w:eastAsia="Times New Roman" w:hAnsi="Calibri" w:cs="Calibri"/>
                <w:lang w:val="de-DE"/>
              </w:rPr>
              <w:lastRenderedPageBreak/>
              <w:t xml:space="preserve">Metropolitan Crime </w:t>
            </w:r>
            <w:proofErr w:type="spellStart"/>
            <w:r w:rsidRPr="0096439E">
              <w:rPr>
                <w:rFonts w:ascii="Calibri" w:eastAsia="Times New Roman" w:hAnsi="Calibri" w:cs="Calibri"/>
                <w:lang w:val="de-DE"/>
              </w:rPr>
              <w:t>Statistics</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fewer</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reasons</w:t>
            </w:r>
            <w:proofErr w:type="spellEnd"/>
            <w:r w:rsidRPr="0096439E">
              <w:rPr>
                <w:rFonts w:ascii="Calibri" w:eastAsia="Times New Roman" w:hAnsi="Calibri" w:cs="Calibri"/>
                <w:lang w:val="de-DE"/>
              </w:rPr>
              <w:t>)</w:t>
            </w:r>
          </w:p>
        </w:tc>
        <w:tc>
          <w:tcPr>
            <w:tcW w:w="3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9B812" w14:textId="77777777" w:rsidR="0096439E" w:rsidRPr="0096439E" w:rsidRDefault="00D1572A" w:rsidP="0096439E">
            <w:pPr>
              <w:spacing w:after="0" w:line="240" w:lineRule="auto"/>
              <w:rPr>
                <w:rFonts w:ascii="Calibri" w:eastAsia="Times New Roman" w:hAnsi="Calibri" w:cs="Calibri"/>
                <w:lang w:val="de-DE"/>
              </w:rPr>
            </w:pPr>
            <w:hyperlink r:id="rId29" w:history="1">
              <w:r w:rsidR="0096439E" w:rsidRPr="0096439E">
                <w:rPr>
                  <w:rFonts w:ascii="Calibri" w:eastAsia="Times New Roman" w:hAnsi="Calibri" w:cs="Calibri"/>
                  <w:color w:val="0000FF"/>
                  <w:u w:val="single"/>
                  <w:lang w:val="de-DE"/>
                </w:rPr>
                <w:t>https://ec.europa.eu/eurostat/api/dissemination/sdmx/2.1/data/met_crim_gen/?format=SDMX-CSV&amp;lang=en&amp;label=both</w:t>
              </w:r>
            </w:hyperlink>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F771DE" w14:textId="77777777" w:rsidR="0096439E" w:rsidRPr="0096439E" w:rsidRDefault="0096439E" w:rsidP="0096439E">
            <w:pPr>
              <w:spacing w:after="0" w:line="240" w:lineRule="auto"/>
              <w:rPr>
                <w:rFonts w:ascii="Calibri" w:eastAsia="Times New Roman" w:hAnsi="Calibri" w:cs="Calibri"/>
                <w:sz w:val="24"/>
                <w:szCs w:val="24"/>
              </w:rPr>
            </w:pPr>
            <w:r w:rsidRPr="0096439E">
              <w:rPr>
                <w:rFonts w:ascii="Calibri" w:eastAsia="Times New Roman" w:hAnsi="Calibri" w:cs="Calibri"/>
                <w:b/>
                <w:bCs/>
                <w:sz w:val="24"/>
                <w:szCs w:val="24"/>
                <w:lang w:val="de-AT"/>
              </w:rPr>
              <w:t> </w:t>
            </w:r>
            <w:r w:rsidRPr="0096439E">
              <w:rPr>
                <w:rFonts w:ascii="Calibri" w:eastAsia="Times New Roman" w:hAnsi="Calibri" w:cs="Calibri"/>
                <w:lang w:val="de-DE"/>
              </w:rPr>
              <w:t xml:space="preserve">Crimes </w:t>
            </w:r>
            <w:proofErr w:type="spellStart"/>
            <w:r w:rsidRPr="0096439E">
              <w:rPr>
                <w:rFonts w:ascii="Calibri" w:eastAsia="Times New Roman" w:hAnsi="Calibri" w:cs="Calibri"/>
                <w:lang w:val="de-DE"/>
              </w:rPr>
              <w:t>recorded</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by</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the</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police</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by</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metropolitan</w:t>
            </w:r>
            <w:proofErr w:type="spellEnd"/>
            <w:r w:rsidRPr="0096439E">
              <w:rPr>
                <w:rFonts w:ascii="Calibri" w:eastAsia="Times New Roman" w:hAnsi="Calibri" w:cs="Calibri"/>
                <w:lang w:val="de-DE"/>
              </w:rPr>
              <w:t xml:space="preserve"> </w:t>
            </w:r>
            <w:proofErr w:type="spellStart"/>
            <w:r w:rsidRPr="0096439E">
              <w:rPr>
                <w:rFonts w:ascii="Calibri" w:eastAsia="Times New Roman" w:hAnsi="Calibri" w:cs="Calibri"/>
                <w:lang w:val="de-DE"/>
              </w:rPr>
              <w:t>regions</w:t>
            </w:r>
            <w:proofErr w:type="spellEnd"/>
          </w:p>
          <w:p w14:paraId="12D817A2" w14:textId="77777777" w:rsidR="0096439E" w:rsidRPr="0096439E" w:rsidRDefault="0096439E" w:rsidP="0096439E">
            <w:pPr>
              <w:spacing w:before="100" w:beforeAutospacing="1" w:after="100" w:afterAutospacing="1" w:line="240" w:lineRule="auto"/>
              <w:rPr>
                <w:rFonts w:ascii="Times New Roman" w:eastAsia="Times New Roman" w:hAnsi="Times New Roman" w:cs="Times New Roman"/>
                <w:sz w:val="24"/>
                <w:szCs w:val="24"/>
              </w:rPr>
            </w:pPr>
            <w:proofErr w:type="spellStart"/>
            <w:r w:rsidRPr="0096439E">
              <w:rPr>
                <w:rFonts w:ascii="Calibri" w:eastAsia="Times New Roman" w:hAnsi="Calibri" w:cs="Calibri"/>
                <w:i/>
                <w:iCs/>
                <w:color w:val="595959"/>
                <w:sz w:val="18"/>
                <w:szCs w:val="18"/>
              </w:rPr>
              <w:t>Aus</w:t>
            </w:r>
            <w:proofErr w:type="spellEnd"/>
            <w:r w:rsidRPr="0096439E">
              <w:rPr>
                <w:rFonts w:ascii="Calibri" w:eastAsia="Times New Roman" w:hAnsi="Calibri" w:cs="Calibri"/>
                <w:i/>
                <w:iCs/>
                <w:color w:val="595959"/>
                <w:sz w:val="18"/>
                <w:szCs w:val="18"/>
              </w:rPr>
              <w:t xml:space="preserve"> &lt;</w:t>
            </w:r>
            <w:hyperlink r:id="rId30" w:history="1">
              <w:r w:rsidRPr="0096439E">
                <w:rPr>
                  <w:rFonts w:ascii="Calibri" w:eastAsia="Times New Roman" w:hAnsi="Calibri" w:cs="Calibri"/>
                  <w:i/>
                  <w:iCs/>
                  <w:color w:val="0000FF"/>
                  <w:sz w:val="18"/>
                  <w:szCs w:val="18"/>
                  <w:u w:val="single"/>
                </w:rPr>
                <w:t>https://ec.europa.eu/eurostat/databrowser/view/met_crim_gen/default/table?lang=en</w:t>
              </w:r>
            </w:hyperlink>
            <w:r w:rsidRPr="0096439E">
              <w:rPr>
                <w:rFonts w:ascii="Calibri" w:eastAsia="Times New Roman" w:hAnsi="Calibri" w:cs="Calibri"/>
                <w:i/>
                <w:iCs/>
                <w:color w:val="595959"/>
                <w:sz w:val="18"/>
                <w:szCs w:val="18"/>
              </w:rPr>
              <w:t xml:space="preserve">&gt; </w:t>
            </w:r>
          </w:p>
        </w:tc>
      </w:tr>
    </w:tbl>
    <w:p w14:paraId="76095DFD" w14:textId="77777777" w:rsidR="00EE547E" w:rsidRDefault="00D1572A"/>
    <w:sectPr w:rsidR="00EE547E" w:rsidSect="0096439E">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40E67"/>
    <w:multiLevelType w:val="multilevel"/>
    <w:tmpl w:val="6F00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9E"/>
    <w:rsid w:val="001A25EE"/>
    <w:rsid w:val="00396ED5"/>
    <w:rsid w:val="00402DEC"/>
    <w:rsid w:val="00707649"/>
    <w:rsid w:val="0096439E"/>
    <w:rsid w:val="00B62BF8"/>
    <w:rsid w:val="00D1572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4AB8"/>
  <w15:chartTrackingRefBased/>
  <w15:docId w15:val="{E14F3EAC-196F-4718-9E56-A61A996C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643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96439E"/>
    <w:rPr>
      <w:color w:val="0000FF"/>
      <w:u w:val="single"/>
    </w:rPr>
  </w:style>
  <w:style w:type="character" w:styleId="HTMLZitat">
    <w:name w:val="HTML Cite"/>
    <w:basedOn w:val="Absatz-Standardschriftart"/>
    <w:uiPriority w:val="99"/>
    <w:semiHidden/>
    <w:unhideWhenUsed/>
    <w:rsid w:val="0096439E"/>
    <w:rPr>
      <w:i/>
      <w:iCs/>
    </w:rPr>
  </w:style>
  <w:style w:type="character" w:styleId="NichtaufgelsteErwhnung">
    <w:name w:val="Unresolved Mention"/>
    <w:basedOn w:val="Absatz-Standardschriftart"/>
    <w:uiPriority w:val="99"/>
    <w:semiHidden/>
    <w:unhideWhenUsed/>
    <w:rsid w:val="00D15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475289">
      <w:bodyDiv w:val="1"/>
      <w:marLeft w:val="0"/>
      <w:marRight w:val="0"/>
      <w:marTop w:val="0"/>
      <w:marBottom w:val="0"/>
      <w:divBdr>
        <w:top w:val="none" w:sz="0" w:space="0" w:color="auto"/>
        <w:left w:val="none" w:sz="0" w:space="0" w:color="auto"/>
        <w:bottom w:val="none" w:sz="0" w:space="0" w:color="auto"/>
        <w:right w:val="none" w:sz="0" w:space="0" w:color="auto"/>
      </w:divBdr>
      <w:divsChild>
        <w:div w:id="80636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browser/view/tessi190/default/table?lang=en" TargetMode="External"/><Relationship Id="rId13" Type="http://schemas.openxmlformats.org/officeDocument/2006/relationships/hyperlink" Target="https://ec.europa.eu/eurostat/databrowser/view/tin00127/default/table?lang=en" TargetMode="External"/><Relationship Id="rId18" Type="http://schemas.openxmlformats.org/officeDocument/2006/relationships/hyperlink" Target="https://ec.europa.eu/eurostat/api/dissemination/sdmx/2.1/data/hlth_hlye/?format=SDMX-CSV&amp;lang=en&amp;label=both" TargetMode="External"/><Relationship Id="rId26" Type="http://schemas.openxmlformats.org/officeDocument/2006/relationships/hyperlink" Target="https://ec.europa.eu/eurostat/databrowser/view/isoc_ci_ac_i/default/table?lang=en" TargetMode="External"/><Relationship Id="rId3" Type="http://schemas.openxmlformats.org/officeDocument/2006/relationships/settings" Target="settings.xml"/><Relationship Id="rId21" Type="http://schemas.openxmlformats.org/officeDocument/2006/relationships/hyperlink" Target="https://ec.europa.eu/eurostat/api/dissemination/sdmx/2.1/data/icw_res_01/?format=SDMX-CSV&amp;lang=en&amp;label=both" TargetMode="External"/><Relationship Id="rId7" Type="http://schemas.openxmlformats.org/officeDocument/2006/relationships/hyperlink" Target="https://ec.europa.eu/eurostat/api/dissemination/sdmx/2.1/data/tessi190/?format=SDMX-CSV&amp;returnData=ALL&amp;lang=en&amp;label=both" TargetMode="External"/><Relationship Id="rId12" Type="http://schemas.openxmlformats.org/officeDocument/2006/relationships/hyperlink" Target="https://ec.europa.eu/eurostat/api/dissemination/sdmx/2.1/data/tin00127/?format=SDMX-CSV&amp;returnData=ALL&amp;lang=en&amp;label=both" TargetMode="External"/><Relationship Id="rId17" Type="http://schemas.openxmlformats.org/officeDocument/2006/relationships/hyperlink" Target="https://ec.europa.eu/eurostat/web/products-datasets/-/sdg_01_10" TargetMode="External"/><Relationship Id="rId25" Type="http://schemas.openxmlformats.org/officeDocument/2006/relationships/hyperlink" Target="https://ec.europa.eu/eurostat/web/experimental-statistics" TargetMode="External"/><Relationship Id="rId2" Type="http://schemas.openxmlformats.org/officeDocument/2006/relationships/styles" Target="styles.xml"/><Relationship Id="rId16" Type="http://schemas.openxmlformats.org/officeDocument/2006/relationships/hyperlink" Target="https://ec.europa.eu/eurostat/api/dissemination/sdmx/2.1/data/sdg_01_10/?format=SDMX-CSV&amp;returnData=ALL&amp;lang=en&amp;label=both" TargetMode="External"/><Relationship Id="rId20" Type="http://schemas.openxmlformats.org/officeDocument/2006/relationships/hyperlink" Target="https://ec.europa.eu/eurostat/cache/metadata/en/hlth_hlye_esms.htm" TargetMode="External"/><Relationship Id="rId29" Type="http://schemas.openxmlformats.org/officeDocument/2006/relationships/hyperlink" Target="https://ec.europa.eu/eurostat/api/dissemination/sdmx/2.1/data/met_crim_gen/?format=SDMX-CSV&amp;lang=en&amp;label=both" TargetMode="External"/><Relationship Id="rId1" Type="http://schemas.openxmlformats.org/officeDocument/2006/relationships/numbering" Target="numbering.xml"/><Relationship Id="rId6" Type="http://schemas.openxmlformats.org/officeDocument/2006/relationships/hyperlink" Target="https://ec.europa.eu/eurostat/databrowser/view/tps00140/default/table?lang=en" TargetMode="External"/><Relationship Id="rId11" Type="http://schemas.openxmlformats.org/officeDocument/2006/relationships/hyperlink" Target="https://ec.europa.eu/eurostat/databrowser/view/tipsun20/default/table?lang=en" TargetMode="External"/><Relationship Id="rId24" Type="http://schemas.openxmlformats.org/officeDocument/2006/relationships/hyperlink" Target="https://ec.europa.eu/eurostat/web/experimental-statistics/world-heritage-sites" TargetMode="External"/><Relationship Id="rId32" Type="http://schemas.openxmlformats.org/officeDocument/2006/relationships/theme" Target="theme/theme1.xml"/><Relationship Id="rId5" Type="http://schemas.openxmlformats.org/officeDocument/2006/relationships/hyperlink" Target="https://ec.europa.eu/eurostat/api/dissemination/sdmx/2.1/data/tps00140/?format=SDMX-CSV&amp;returnData=ALL&amp;lang=en&amp;label=both" TargetMode="External"/><Relationship Id="rId15" Type="http://schemas.openxmlformats.org/officeDocument/2006/relationships/hyperlink" Target="https://ec.europa.eu/eurostat/api/dissemination/sdmx/2.1/data/crim_off_cat/?format=SDMX-CSV&amp;lang=en&amp;label=both" TargetMode="External"/><Relationship Id="rId23" Type="http://schemas.openxmlformats.org/officeDocument/2006/relationships/hyperlink" Target="https://ec.europa.eu/eurostat/web/experimental-statistics/income-consumption-wealth" TargetMode="External"/><Relationship Id="rId28" Type="http://schemas.openxmlformats.org/officeDocument/2006/relationships/hyperlink" Target="https://ec.europa.eu/eurostat/databrowser/view/isoc_ci_ac_i/default/table?lang=en" TargetMode="External"/><Relationship Id="rId10" Type="http://schemas.openxmlformats.org/officeDocument/2006/relationships/hyperlink" Target="https://ec.europa.eu/eurostat/api/dissemination/sdmx/2.1/data/tipsun20/?format=SDMX-CSV&amp;returnData=ALL&amp;lang=en&amp;label=both" TargetMode="External"/><Relationship Id="rId19" Type="http://schemas.openxmlformats.org/officeDocument/2006/relationships/hyperlink" Target="https://ec.europa.eu/eurostat/api/dissemination/sdmx/2.1/data/hlth_hlye/?format=SDMX-CSV&amp;lang=en&amp;label=bot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eurostat/databrowser/product/view/ilc_di12" TargetMode="External"/><Relationship Id="rId14" Type="http://schemas.openxmlformats.org/officeDocument/2006/relationships/hyperlink" Target="https://ec.europa.eu/eurostat/databrowser/view/isoc_ci_ac_i/default/table?lang=en" TargetMode="External"/><Relationship Id="rId22" Type="http://schemas.openxmlformats.org/officeDocument/2006/relationships/hyperlink" Target="https://ec.europa.eu/eurostat/databrowser/view/icw_res_01__custom_9389178/default/table?lang=en&amp;page=time:2020" TargetMode="External"/><Relationship Id="rId27" Type="http://schemas.openxmlformats.org/officeDocument/2006/relationships/hyperlink" Target="https://ec.europa.eu/eurostat/api/dissemination/sdmx/2.1/data/isoc_ci_ac_i/?format=SDMX-CSV&amp;lang=en&amp;label=both" TargetMode="External"/><Relationship Id="rId30" Type="http://schemas.openxmlformats.org/officeDocument/2006/relationships/hyperlink" Target="https://ec.europa.eu/eurostat/databrowser/view/met_crim_gen/default/table?lang=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1712</Words>
  <Characters>9759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Payer</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Marina</dc:creator>
  <cp:keywords/>
  <dc:description/>
  <cp:lastModifiedBy>Hofer Marina</cp:lastModifiedBy>
  <cp:revision>2</cp:revision>
  <dcterms:created xsi:type="dcterms:W3CDTF">2024-01-17T13:28:00Z</dcterms:created>
  <dcterms:modified xsi:type="dcterms:W3CDTF">2024-01-17T13:34:00Z</dcterms:modified>
</cp:coreProperties>
</file>