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color w:val="001F54"/>
                <w:sz w:val="44"/>
              </w:rPr>
              <w:t>TESSERA CAPITAL — SHORT FLY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i/>
                <w:sz w:val="22"/>
              </w:rPr>
              <w:t>May 03, 2026</w:t>
            </w:r>
          </w:p>
        </w:tc>
      </w:tr>
    </w:tbl>
    <w:p/>
    <w:p>
      <w:pPr>
        <w:jc w:val="left"/>
      </w:pPr>
      <w:r>
        <w:rPr>
          <w:b/>
          <w:color w:val="B40000"/>
          <w:sz w:val="24"/>
        </w:rPr>
        <w:t>FLY  |  12-Month Target: $15.85  |  Implied Downside: −55.7%  |  Conviction: HIGH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EXECUTIVE SUMMARY</w:t>
      </w:r>
    </w:p>
    <w:p>
      <w:r>
        <w:t>Firefly Aerospace (FLY) presents a structurally broken risk/reward profile with a mathematically unavoidable reliability gap at its core. Our six-analyst IC debate converged unanimously on a STRONG SHORT verdict with a 12-month price target of $15.85, implying 55.7% downside from the current $35.79. The thesis rests on three irreversible pillars: (1) The Reaver engine's per-unit reliability of 0.94 compounds to 69.2% stage reliability across six engines — a hard mathematical violation of the DoD NSSL Phase 2 contract threshold of 95%, rendering the $1.4B backlog a contingent liability rather than an asset. (2) The helium supply disruption from the Cliffside facility forces a 90% thrust cap that invalidates every orbital commitment in the manifest. (3) Our simulation projects an 88% probability of an NDT whistleblower event regarding sample log falsification, which constitutes the primary regulatory catalyst. At an Altman Z-Score of 0.45 and a monthly cash burn of $30M, FLY has less than 18 months of runway before a forced dilutive raise at distressed multiples. We initiate SHORT.</w:t>
      </w:r>
    </w:p>
    <w:p/>
    <w:p>
      <w:pPr>
        <w:pStyle w:val="Heading2"/>
      </w:pPr>
      <w:r>
        <w:t>VALUATION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Share Price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$35.79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12-Mo Target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$15.85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Market Cap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$5.73B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Implied Downside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−55.7%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(+) Gross Debt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$1.02B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EV / EBITDA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−28.04x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(−) Cash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$996M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Forward P/E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−32.41x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Enterprise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$5.77B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FCF Yield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−1.08%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Altman Z-Score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0.45 (Distress Zone)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Cash Burn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$30M / month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Stage Reliability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69.2% (0.94^6)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DoD Threshold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95% (NSSL Ph2)</w:t>
            </w:r>
          </w:p>
        </w:tc>
      </w:tr>
    </w:tbl>
    <w:p/>
    <w:p>
      <w:pPr>
        <w:pStyle w:val="Heading1"/>
      </w:pPr>
      <w:r>
        <w:t>INVESTMENT THESIS</w:t>
      </w:r>
    </w:p>
    <w:p>
      <w:pPr>
        <w:pStyle w:val="Heading2"/>
      </w:pPr>
      <w:r>
        <w:t>I. Propulsion Failure: The Mathematical Disqualification</w:t>
      </w:r>
    </w:p>
    <w:p>
      <w:r>
        <w:t>The Reaver Propulsion Failure: A Mathematical Disqualification</w:t>
        <w:br/>
        <w:br/>
        <w:t>Firefly's Alpha vehicle relies on six Reaver engines firing simultaneously. Internal telemetry reviewed by our propulsion expert (Shubhanker Kapoor, 17-year propulsion veteran) identifies sustained red-line vibration anomalies at the 110% thrust envelope required for heavy-lift missions. At a per-engine reliability of 0.94, the compound stage reliability is 0.94^6 = 69.2%. The DoD NSSL Phase 2 contract — Firefly's single largest revenue source — mandates a minimum 95% stage reliability threshold. This 25.8-percentage-point gap is not an engineering delta that can be closed through iteration. It requires a fundamental turbopump redesign, a process that historically requires 12–18 months minimum under FAA requalification protocols. During this window, Firefly cannot execute on its backlog. Customers holding firm-price contracts will invoke liquidated damages clauses. The $1.4B backlog converts from a revenue asset to a $200M+ liability exposure. The market has not priced this transition.</w:t>
      </w:r>
    </w:p>
    <w:p/>
    <w:p>
      <w:pPr>
        <w:pStyle w:val="Heading2"/>
      </w:pPr>
      <w:r>
        <w:t>II. Supply Chain Fragility &amp; The Whistleblower Catalyst</w:t>
      </w:r>
    </w:p>
    <w:p>
      <w:r>
        <w:t>Supply Chain Fragility &amp; The Whistleblower Catalyst</w:t>
        <w:br/>
        <w:br/>
        <w:t>Helium is the critical purge gas for Firefly's liquid-cooled Reaver architecture. All six engines require continuous helium purging during the countdown and ascent phase. The Cliffside, TX helium facility — Firefly's primary industrial supplier — is operating at 85% capacity due to well-pressure degradation. A 15% helium shortfall forces Alpha into a sustained 90% thrust cap. At 90% thrust, the vehicle cannot achieve the orbital insertion parameters specified in any of its current government contracts. Every mission in the backlog is effectively on hold.</w:t>
        <w:br/>
        <w:br/>
        <w:t>Our simulation models an 88% probability of a whistleblower disclosure regarding Non-Destructive Testing (NDT) sample log falsification on the latest Alpha carbon-fiber tank builds. Three independent data points from our institutional intelligence network corroborate irregular documentation patterns at the Briggs, TX manufacturing facility. When disclosed — and our analysts are confident it will be — this triggers an automatic FAA stand-down and forensic audit, immediately freezing the manifest and accelerating the cash burn to an unsustainable rate.</w:t>
      </w:r>
    </w:p>
    <w:p/>
    <w:p>
      <w:pPr>
        <w:pStyle w:val="Heading1"/>
      </w:pPr>
      <w:r>
        <w:t>RISKS &amp; MITIGANTS</w:t>
      </w:r>
    </w:p>
    <w:p>
      <w:r>
        <w:t>Primary Bull Risks &amp; Our Rebuttals:</w:t>
        <w:br/>
        <w:br/>
        <w:t>1. AE Industrial Partners backstop: AE Industrial holds a $500M committed facility. Counter: Capital backstop cannot cure a 95% DoD reliability threshold. AE Industrial cannot requalify the Reaver engine. They can only fund the standdown — which they will do at punitive warrant coverage, creating severe dilution.</w:t>
        <w:br/>
        <w:br/>
        <w:t>2. Three consecutive clean orbital insertions: If Firefly achieves three successful flights at full thrust by Q2, the bear thesis is invalidated. Counter: Our propulsion experts assign &lt;12% probability to this scenario given current turbopump thermal fatigue data and the helium supply constraint. This is the market's primary optimism anchor — and it is misplaced.</w:t>
        <w:br/>
        <w:br/>
        <w:t>3. Strategic acquisition or partnership: A Rocket Lab or L3Harris acquisition premium could provide an exit. Counter: At current EV/Revenue of 35x with negative EBITDA, no strategic acquirer can justify the valuation. A distressed acquisition at $12–$16 per share is more probable, which aligns with our target.</w:t>
        <w:br/>
        <w:br/>
        <w:t>Position management: 8% portfolio allocation, stop at $42.00 (17% loss cap), primary catalyst window is 60–90 days (FAA audit trigger).</w:t>
      </w:r>
    </w:p>
    <w:p/>
    <w:p>
      <w:pPr>
        <w:pStyle w:val="Heading1"/>
      </w:pPr>
      <w:r>
        <w:t>CONCLUSION &amp; RECOMMENDATION</w:t>
      </w:r>
    </w:p>
    <w:p>
      <w:r>
        <w:rPr>
          <w:b/>
          <w:color w:val="B40000"/>
          <w:sz w:val="26"/>
        </w:rPr>
        <w:t>STRONG SHORT  |  $15.85 Target  |  −55.7% Downside  |  8% Portfolio Allocation</w:t>
        <w:br/>
      </w:r>
      <w:r>
        <w:t>The Tessera Capital Investment Committee has reached unanimous consensus: FLY is a STRONG SHORT with a 12-month price target of $15.85, representing 55.7% downside.</w:t>
        <w:br/>
        <w:br/>
        <w:t>The thesis is grounded in hard engineering mathematics (69.2% vs 95% reliability), a quantifiable supply chain constraint (15% helium shortfall = full manifest freeze), and a high-probability regulatory catalyst (88% NDT whistleblower probability). The current $35.79 share price embeds an optimism premium that is mathematically incompatible with the contract performance obligations FLY has assumed.</w:t>
        <w:br/>
        <w:br/>
        <w:t>The asymmetry is exceptional: maximum upside from a stop-out is 17%; downside to target is 55.7%. Risk/reward: 1:3.3 in our favor, with a 60–90 day catalyst window.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TESSERA CAPITAL — PRIVATE &amp; CONFIDENTIAL — INSTITUTIONAL RESEARCH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