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04A6" w14:textId="77777777" w:rsidR="00936EE3" w:rsidRPr="00936EE3" w:rsidRDefault="00936EE3" w:rsidP="00936EE3">
      <w:pPr>
        <w:rPr>
          <w:rFonts w:ascii="Times New Roman" w:hAnsi="Times New Roman" w:cs="Times New Roman"/>
          <w:b/>
          <w:bCs/>
        </w:rPr>
      </w:pPr>
      <w:r w:rsidRPr="00936EE3">
        <w:rPr>
          <w:rFonts w:ascii="Times New Roman" w:hAnsi="Times New Roman" w:cs="Times New Roman"/>
          <w:b/>
          <w:bCs/>
        </w:rPr>
        <w:t>SESSION 2 PRE-WORK SUMMARY</w:t>
      </w:r>
    </w:p>
    <w:p w14:paraId="0D1133FE" w14:textId="77777777" w:rsidR="00936EE3" w:rsidRPr="00936EE3" w:rsidRDefault="00936EE3" w:rsidP="00936EE3">
      <w:p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  <w:b/>
          <w:bCs/>
        </w:rPr>
        <w:t>Student:</w:t>
      </w:r>
      <w:r w:rsidRPr="00936EE3">
        <w:rPr>
          <w:rFonts w:ascii="Times New Roman" w:hAnsi="Times New Roman" w:cs="Times New Roman"/>
        </w:rPr>
        <w:t xml:space="preserve"> Mingyu He</w:t>
      </w:r>
      <w:r w:rsidRPr="00936EE3">
        <w:rPr>
          <w:rFonts w:ascii="Times New Roman" w:hAnsi="Times New Roman" w:cs="Times New Roman"/>
        </w:rPr>
        <w:br/>
      </w:r>
      <w:r w:rsidRPr="00936EE3">
        <w:rPr>
          <w:rFonts w:ascii="Times New Roman" w:hAnsi="Times New Roman" w:cs="Times New Roman"/>
          <w:b/>
          <w:bCs/>
        </w:rPr>
        <w:t>Date:</w:t>
      </w:r>
      <w:r w:rsidRPr="00936EE3">
        <w:rPr>
          <w:rFonts w:ascii="Times New Roman" w:hAnsi="Times New Roman" w:cs="Times New Roman"/>
        </w:rPr>
        <w:t xml:space="preserve"> January 29, 2026</w:t>
      </w:r>
      <w:r w:rsidRPr="00936EE3">
        <w:rPr>
          <w:rFonts w:ascii="Times New Roman" w:hAnsi="Times New Roman" w:cs="Times New Roman"/>
        </w:rPr>
        <w:br/>
      </w:r>
      <w:r w:rsidRPr="00936EE3">
        <w:rPr>
          <w:rFonts w:ascii="Times New Roman" w:hAnsi="Times New Roman" w:cs="Times New Roman"/>
          <w:b/>
          <w:bCs/>
        </w:rPr>
        <w:t>Duration:</w:t>
      </w:r>
      <w:r w:rsidRPr="00936EE3">
        <w:rPr>
          <w:rFonts w:ascii="Times New Roman" w:hAnsi="Times New Roman" w:cs="Times New Roman"/>
        </w:rPr>
        <w:t xml:space="preserve"> ~25 minutes</w:t>
      </w:r>
    </w:p>
    <w:p w14:paraId="68044906" w14:textId="77777777" w:rsidR="00936EE3" w:rsidRPr="00936EE3" w:rsidRDefault="00936EE3" w:rsidP="00936EE3">
      <w:pPr>
        <w:rPr>
          <w:rFonts w:ascii="Times New Roman" w:hAnsi="Times New Roman" w:cs="Times New Roman"/>
          <w:b/>
          <w:bCs/>
        </w:rPr>
      </w:pPr>
      <w:r w:rsidRPr="00936EE3">
        <w:rPr>
          <w:rFonts w:ascii="Times New Roman" w:hAnsi="Times New Roman" w:cs="Times New Roman"/>
          <w:b/>
          <w:bCs/>
        </w:rPr>
        <w:t>KEY CONCEPTS DISCUSSED:</w:t>
      </w:r>
    </w:p>
    <w:p w14:paraId="07725C66" w14:textId="77777777" w:rsidR="00936EE3" w:rsidRPr="00936EE3" w:rsidRDefault="00936EE3" w:rsidP="00936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 xml:space="preserve">The role of LLMs as </w:t>
      </w:r>
      <w:r w:rsidRPr="00936EE3">
        <w:rPr>
          <w:rFonts w:ascii="Times New Roman" w:hAnsi="Times New Roman" w:cs="Times New Roman"/>
          <w:i/>
          <w:iCs/>
        </w:rPr>
        <w:t>assistive systems</w:t>
      </w:r>
      <w:r w:rsidRPr="00936EE3">
        <w:rPr>
          <w:rFonts w:ascii="Times New Roman" w:hAnsi="Times New Roman" w:cs="Times New Roman"/>
        </w:rPr>
        <w:t xml:space="preserve"> that liberate humans from repetitive tasks while preserving human judgment, accountability, and empathy</w:t>
      </w:r>
    </w:p>
    <w:p w14:paraId="494F7A23" w14:textId="77777777" w:rsidR="00936EE3" w:rsidRPr="00936EE3" w:rsidRDefault="00936EE3" w:rsidP="00936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Clear boundaries between deterministic automation (rules, triggers, execution) and LLM capabilities (interpretation, summarization, orchestration)</w:t>
      </w:r>
    </w:p>
    <w:p w14:paraId="090D7CB1" w14:textId="77777777" w:rsidR="00936EE3" w:rsidRPr="00936EE3" w:rsidRDefault="00936EE3" w:rsidP="00936E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Governance-aware system design: separating recommendation, explanation, and decision authority in AI-powered student systems</w:t>
      </w:r>
    </w:p>
    <w:p w14:paraId="65753BF5" w14:textId="77777777" w:rsidR="00936EE3" w:rsidRPr="00936EE3" w:rsidRDefault="00936EE3" w:rsidP="00936EE3">
      <w:pPr>
        <w:rPr>
          <w:rFonts w:ascii="Times New Roman" w:hAnsi="Times New Roman" w:cs="Times New Roman"/>
          <w:b/>
          <w:bCs/>
        </w:rPr>
      </w:pPr>
      <w:r w:rsidRPr="00936EE3">
        <w:rPr>
          <w:rFonts w:ascii="Times New Roman" w:hAnsi="Times New Roman" w:cs="Times New Roman"/>
          <w:b/>
          <w:bCs/>
        </w:rPr>
        <w:t>UNDERSTANDING DEMONSTRATED:</w:t>
      </w:r>
    </w:p>
    <w:p w14:paraId="5D8A25E8" w14:textId="77777777" w:rsidR="00936EE3" w:rsidRPr="00936EE3" w:rsidRDefault="00936EE3" w:rsidP="00936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Strong grasp of why legacy systems like Albert rely on rigid rule-based logic for scale, fairness, and operational stability</w:t>
      </w:r>
    </w:p>
    <w:p w14:paraId="17DD1172" w14:textId="77777777" w:rsidR="00936EE3" w:rsidRPr="00936EE3" w:rsidRDefault="00936EE3" w:rsidP="00936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Sophisticated distinction between “safe-to-automate” tasks (e.g., prerequisite checking) and judgment-heavy tasks (e.g., financial hardship, exceptions)</w:t>
      </w:r>
    </w:p>
    <w:p w14:paraId="16F305ED" w14:textId="77777777" w:rsidR="00936EE3" w:rsidRPr="00936EE3" w:rsidRDefault="00936EE3" w:rsidP="00936E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Clear articulation of hallucination risk as the most dangerous failure mode due to trust erosion and real academic/financial consequences</w:t>
      </w:r>
    </w:p>
    <w:p w14:paraId="043721D4" w14:textId="77777777" w:rsidR="00936EE3" w:rsidRPr="00936EE3" w:rsidRDefault="00936EE3" w:rsidP="00936EE3">
      <w:pPr>
        <w:rPr>
          <w:rFonts w:ascii="Times New Roman" w:hAnsi="Times New Roman" w:cs="Times New Roman"/>
          <w:b/>
          <w:bCs/>
        </w:rPr>
      </w:pPr>
      <w:r w:rsidRPr="00936EE3">
        <w:rPr>
          <w:rFonts w:ascii="Times New Roman" w:hAnsi="Times New Roman" w:cs="Times New Roman"/>
          <w:b/>
          <w:bCs/>
        </w:rPr>
        <w:t>AREAS FOR CLARIFICATION:</w:t>
      </w:r>
    </w:p>
    <w:p w14:paraId="5219757E" w14:textId="77777777" w:rsidR="00936EE3" w:rsidRPr="00936EE3" w:rsidRDefault="00936EE3" w:rsidP="00936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How organizational governance frameworks should allocate responsibility and liability for AI-driven errors</w:t>
      </w:r>
    </w:p>
    <w:p w14:paraId="35BD3472" w14:textId="77777777" w:rsidR="00936EE3" w:rsidRPr="00936EE3" w:rsidRDefault="00936EE3" w:rsidP="00936E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How institutional values should be encoded into LLM behavior when stakeholder goals conflict</w:t>
      </w:r>
    </w:p>
    <w:p w14:paraId="3691D2CE" w14:textId="77777777" w:rsidR="00936EE3" w:rsidRPr="00936EE3" w:rsidRDefault="00936EE3" w:rsidP="00936EE3">
      <w:pPr>
        <w:rPr>
          <w:rFonts w:ascii="Times New Roman" w:hAnsi="Times New Roman" w:cs="Times New Roman"/>
          <w:b/>
          <w:bCs/>
        </w:rPr>
      </w:pPr>
      <w:r w:rsidRPr="00936EE3">
        <w:rPr>
          <w:rFonts w:ascii="Times New Roman" w:hAnsi="Times New Roman" w:cs="Times New Roman"/>
          <w:b/>
          <w:bCs/>
        </w:rPr>
        <w:t>APPLICATION TO ALBERT CASE:</w:t>
      </w:r>
    </w:p>
    <w:p w14:paraId="1350F710" w14:textId="77777777" w:rsidR="00936EE3" w:rsidRPr="00936EE3" w:rsidRDefault="00936EE3" w:rsidP="00936E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Applied LLM concepts to a concrete student pain point (course registration monitoring and notifications)</w:t>
      </w:r>
    </w:p>
    <w:p w14:paraId="2422EC91" w14:textId="77777777" w:rsidR="00936EE3" w:rsidRPr="00936EE3" w:rsidRDefault="00936EE3" w:rsidP="00936E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Designed a hybrid system where the LLM interprets intent and coordinates actions while traditional automation executes reliable triggers</w:t>
      </w:r>
    </w:p>
    <w:p w14:paraId="6ADA42A7" w14:textId="77777777" w:rsidR="00936EE3" w:rsidRPr="00936EE3" w:rsidRDefault="00936EE3" w:rsidP="00936E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</w:rPr>
        <w:t>Identified strict boundaries for AI authority (no write access to grades or financial records) and proposed fail-safe degradation during peak periods</w:t>
      </w:r>
    </w:p>
    <w:p w14:paraId="523BE18D" w14:textId="77777777" w:rsidR="00936EE3" w:rsidRPr="00936EE3" w:rsidRDefault="00936EE3" w:rsidP="00936EE3">
      <w:pPr>
        <w:rPr>
          <w:rFonts w:ascii="Times New Roman" w:hAnsi="Times New Roman" w:cs="Times New Roman"/>
          <w:b/>
          <w:bCs/>
        </w:rPr>
      </w:pPr>
      <w:r w:rsidRPr="00936EE3">
        <w:rPr>
          <w:rFonts w:ascii="Times New Roman" w:hAnsi="Times New Roman" w:cs="Times New Roman"/>
          <w:b/>
          <w:bCs/>
        </w:rPr>
        <w:t>QUESTIONS FOR CLASS (Student-Generated):</w:t>
      </w:r>
    </w:p>
    <w:p w14:paraId="5E48B2D1" w14:textId="77777777" w:rsidR="00936EE3" w:rsidRPr="00936EE3" w:rsidRDefault="00936EE3" w:rsidP="00936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  <w:b/>
          <w:bCs/>
        </w:rPr>
        <w:lastRenderedPageBreak/>
        <w:t>Technical / Conceptual:</w:t>
      </w:r>
      <w:r w:rsidRPr="00936EE3">
        <w:rPr>
          <w:rFonts w:ascii="Times New Roman" w:hAnsi="Times New Roman" w:cs="Times New Roman"/>
        </w:rPr>
        <w:br/>
        <w:t>If an AI assistant in Albert provides an incorrect credit recommendation due to a hallucination, causing a student to miss their graduation deadline, how should organizational responsibility and governance be structured to handle accountability?</w:t>
      </w:r>
    </w:p>
    <w:p w14:paraId="2600D88A" w14:textId="77777777" w:rsidR="00936EE3" w:rsidRPr="00936EE3" w:rsidRDefault="00936EE3" w:rsidP="00936E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  <w:b/>
          <w:bCs/>
        </w:rPr>
        <w:t>Application / Case-Based:</w:t>
      </w:r>
      <w:r w:rsidRPr="00936EE3">
        <w:rPr>
          <w:rFonts w:ascii="Times New Roman" w:hAnsi="Times New Roman" w:cs="Times New Roman"/>
        </w:rPr>
        <w:br/>
        <w:t>When an LLM serves both students and academic advisors, how should institutional values be encoded into its behavior if student preferences (e.g., “easy-A” courses) conflict with the university’s academic standards?</w:t>
      </w:r>
    </w:p>
    <w:p w14:paraId="097FED18" w14:textId="77777777" w:rsidR="00936EE3" w:rsidRPr="00936EE3" w:rsidRDefault="00936EE3" w:rsidP="00936EE3">
      <w:pPr>
        <w:rPr>
          <w:rFonts w:ascii="Times New Roman" w:hAnsi="Times New Roman" w:cs="Times New Roman"/>
          <w:b/>
          <w:bCs/>
        </w:rPr>
      </w:pPr>
      <w:r w:rsidRPr="00936EE3">
        <w:rPr>
          <w:rFonts w:ascii="Times New Roman" w:hAnsi="Times New Roman" w:cs="Times New Roman"/>
          <w:b/>
          <w:bCs/>
        </w:rPr>
        <w:t>CHATBOT ASSESSMENT:</w:t>
      </w:r>
    </w:p>
    <w:p w14:paraId="0BB765B9" w14:textId="77777777" w:rsidR="00936EE3" w:rsidRPr="00936EE3" w:rsidRDefault="00936EE3" w:rsidP="00936E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  <w:b/>
          <w:bCs/>
        </w:rPr>
        <w:t>Engagement Level:</w:t>
      </w:r>
      <w:r w:rsidRPr="00936EE3">
        <w:rPr>
          <w:rFonts w:ascii="Times New Roman" w:hAnsi="Times New Roman" w:cs="Times New Roman"/>
        </w:rPr>
        <w:t xml:space="preserve"> High</w:t>
      </w:r>
    </w:p>
    <w:p w14:paraId="15C61FEF" w14:textId="77777777" w:rsidR="00936EE3" w:rsidRPr="00936EE3" w:rsidRDefault="00936EE3" w:rsidP="00936E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  <w:b/>
          <w:bCs/>
        </w:rPr>
        <w:t>Depth of Thinking:</w:t>
      </w:r>
      <w:r w:rsidRPr="00936EE3">
        <w:rPr>
          <w:rFonts w:ascii="Times New Roman" w:hAnsi="Times New Roman" w:cs="Times New Roman"/>
        </w:rPr>
        <w:t xml:space="preserve"> Demonstrates deep reflection and systems-level reasoning</w:t>
      </w:r>
    </w:p>
    <w:p w14:paraId="6CC3D05D" w14:textId="77777777" w:rsidR="00936EE3" w:rsidRPr="00936EE3" w:rsidRDefault="00936EE3" w:rsidP="00936E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6EE3">
        <w:rPr>
          <w:rFonts w:ascii="Times New Roman" w:hAnsi="Times New Roman" w:cs="Times New Roman"/>
          <w:b/>
          <w:bCs/>
        </w:rPr>
        <w:t>Readiness for Class:</w:t>
      </w:r>
      <w:r w:rsidRPr="00936EE3">
        <w:rPr>
          <w:rFonts w:ascii="Times New Roman" w:hAnsi="Times New Roman" w:cs="Times New Roman"/>
        </w:rPr>
        <w:t xml:space="preserve"> Well-prepared</w:t>
      </w:r>
    </w:p>
    <w:p w14:paraId="51FD3651" w14:textId="77777777" w:rsidR="00936EE3" w:rsidRDefault="00936EE3"/>
    <w:sectPr w:rsidR="00936EE3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F33"/>
    <w:multiLevelType w:val="multilevel"/>
    <w:tmpl w:val="5B3E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92B62"/>
    <w:multiLevelType w:val="multilevel"/>
    <w:tmpl w:val="11C2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93831"/>
    <w:multiLevelType w:val="multilevel"/>
    <w:tmpl w:val="EF44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37CE6"/>
    <w:multiLevelType w:val="multilevel"/>
    <w:tmpl w:val="A500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33E68"/>
    <w:multiLevelType w:val="multilevel"/>
    <w:tmpl w:val="CFF8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80E70"/>
    <w:multiLevelType w:val="multilevel"/>
    <w:tmpl w:val="1B30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737479">
    <w:abstractNumId w:val="4"/>
  </w:num>
  <w:num w:numId="2" w16cid:durableId="681972368">
    <w:abstractNumId w:val="5"/>
  </w:num>
  <w:num w:numId="3" w16cid:durableId="381903615">
    <w:abstractNumId w:val="3"/>
  </w:num>
  <w:num w:numId="4" w16cid:durableId="1945729096">
    <w:abstractNumId w:val="1"/>
  </w:num>
  <w:num w:numId="5" w16cid:durableId="192421082">
    <w:abstractNumId w:val="2"/>
  </w:num>
  <w:num w:numId="6" w16cid:durableId="26866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E3"/>
    <w:rsid w:val="00936EE3"/>
    <w:rsid w:val="00E4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D9864"/>
  <w15:chartTrackingRefBased/>
  <w15:docId w15:val="{8BB02CFE-1FC0-4E0E-8A7F-A7E8A8A2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E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E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E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E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E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E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E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E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E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E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E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6E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E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E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E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E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E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E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E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E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E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E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6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2026-01-29T21:10:00Z</dcterms:created>
  <dcterms:modified xsi:type="dcterms:W3CDTF">2026-01-29T21:11:00Z</dcterms:modified>
</cp:coreProperties>
</file>