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89333" w14:textId="77777777" w:rsidR="003140CB" w:rsidRPr="003140CB" w:rsidRDefault="003140CB" w:rsidP="003140CB">
      <w:pPr>
        <w:rPr>
          <w:rFonts w:ascii="Times New Roman" w:hAnsi="Times New Roman" w:cs="Times New Roman"/>
          <w:b/>
          <w:bCs/>
          <w:sz w:val="24"/>
        </w:rPr>
      </w:pPr>
      <w:r w:rsidRPr="003140CB">
        <w:rPr>
          <w:rFonts w:ascii="Times New Roman" w:hAnsi="Times New Roman" w:cs="Times New Roman"/>
          <w:b/>
          <w:bCs/>
          <w:sz w:val="24"/>
        </w:rPr>
        <w:t>PRE-CLASS ASSESSMENT SUMMARY</w:t>
      </w:r>
    </w:p>
    <w:p w14:paraId="56D40C1A" w14:textId="77777777" w:rsidR="003140CB" w:rsidRPr="003140CB" w:rsidRDefault="003140CB" w:rsidP="003140CB">
      <w:pPr>
        <w:rPr>
          <w:rFonts w:ascii="Times New Roman" w:hAnsi="Times New Roman" w:cs="Times New Roman"/>
          <w:sz w:val="24"/>
        </w:rPr>
      </w:pPr>
      <w:r w:rsidRPr="003140CB">
        <w:rPr>
          <w:rFonts w:ascii="Times New Roman" w:hAnsi="Times New Roman" w:cs="Times New Roman"/>
          <w:b/>
          <w:bCs/>
          <w:sz w:val="24"/>
        </w:rPr>
        <w:t>Student:</w:t>
      </w:r>
      <w:r w:rsidRPr="003140CB">
        <w:rPr>
          <w:rFonts w:ascii="Times New Roman" w:hAnsi="Times New Roman" w:cs="Times New Roman"/>
          <w:sz w:val="24"/>
        </w:rPr>
        <w:t xml:space="preserve"> Mingyu He</w:t>
      </w:r>
      <w:r w:rsidRPr="003140CB">
        <w:rPr>
          <w:rFonts w:ascii="Times New Roman" w:hAnsi="Times New Roman" w:cs="Times New Roman"/>
          <w:sz w:val="24"/>
        </w:rPr>
        <w:br/>
      </w:r>
      <w:r w:rsidRPr="003140CB">
        <w:rPr>
          <w:rFonts w:ascii="Times New Roman" w:hAnsi="Times New Roman" w:cs="Times New Roman"/>
          <w:b/>
          <w:bCs/>
          <w:sz w:val="24"/>
        </w:rPr>
        <w:t>Date:</w:t>
      </w:r>
      <w:r w:rsidRPr="003140CB">
        <w:rPr>
          <w:rFonts w:ascii="Times New Roman" w:hAnsi="Times New Roman" w:cs="Times New Roman"/>
          <w:sz w:val="24"/>
        </w:rPr>
        <w:t xml:space="preserve"> April 15, 2026</w:t>
      </w:r>
      <w:r w:rsidRPr="003140CB">
        <w:rPr>
          <w:rFonts w:ascii="Times New Roman" w:hAnsi="Times New Roman" w:cs="Times New Roman"/>
          <w:sz w:val="24"/>
        </w:rPr>
        <w:br/>
      </w:r>
      <w:r w:rsidRPr="003140CB">
        <w:rPr>
          <w:rFonts w:ascii="Times New Roman" w:hAnsi="Times New Roman" w:cs="Times New Roman"/>
          <w:b/>
          <w:bCs/>
          <w:sz w:val="24"/>
        </w:rPr>
        <w:t>Duration:</w:t>
      </w:r>
      <w:r w:rsidRPr="003140CB">
        <w:rPr>
          <w:rFonts w:ascii="Times New Roman" w:hAnsi="Times New Roman" w:cs="Times New Roman"/>
          <w:sz w:val="24"/>
        </w:rPr>
        <w:t xml:space="preserve"> ~26 minutes</w:t>
      </w:r>
    </w:p>
    <w:p w14:paraId="1FE135F6" w14:textId="77777777" w:rsidR="003140CB" w:rsidRPr="003140CB" w:rsidRDefault="003140CB" w:rsidP="003140CB">
      <w:pPr>
        <w:rPr>
          <w:rFonts w:ascii="Times New Roman" w:hAnsi="Times New Roman" w:cs="Times New Roman"/>
          <w:sz w:val="24"/>
        </w:rPr>
      </w:pPr>
      <w:r w:rsidRPr="003140CB">
        <w:rPr>
          <w:rFonts w:ascii="Times New Roman" w:hAnsi="Times New Roman" w:cs="Times New Roman"/>
          <w:b/>
          <w:bCs/>
          <w:sz w:val="24"/>
        </w:rPr>
        <w:t>Sources:</w:t>
      </w:r>
    </w:p>
    <w:p w14:paraId="1DDFE327" w14:textId="77777777" w:rsidR="003140CB" w:rsidRPr="003140CB" w:rsidRDefault="003140CB" w:rsidP="003140CB">
      <w:pPr>
        <w:rPr>
          <w:rFonts w:ascii="Times New Roman" w:hAnsi="Times New Roman" w:cs="Times New Roman"/>
          <w:sz w:val="24"/>
        </w:rPr>
      </w:pPr>
      <w:r w:rsidRPr="003140CB">
        <w:rPr>
          <w:rFonts w:ascii="Times New Roman" w:hAnsi="Times New Roman" w:cs="Times New Roman"/>
          <w:sz w:val="24"/>
        </w:rPr>
        <w:pict w14:anchorId="229FBCF8">
          <v:rect id="_x0000_i1049" style="width:0;height:1.5pt" o:hralign="center" o:hrstd="t" o:hr="t" fillcolor="#a0a0a0" stroked="f"/>
        </w:pict>
      </w:r>
    </w:p>
    <w:p w14:paraId="311A1F44" w14:textId="77777777" w:rsidR="003140CB" w:rsidRPr="003140CB" w:rsidRDefault="003140CB" w:rsidP="003140CB">
      <w:pPr>
        <w:rPr>
          <w:rFonts w:ascii="Times New Roman" w:hAnsi="Times New Roman" w:cs="Times New Roman"/>
          <w:b/>
          <w:bCs/>
          <w:sz w:val="24"/>
        </w:rPr>
      </w:pPr>
      <w:r w:rsidRPr="003140CB">
        <w:rPr>
          <w:rFonts w:ascii="Times New Roman" w:hAnsi="Times New Roman" w:cs="Times New Roman"/>
          <w:b/>
          <w:bCs/>
          <w:sz w:val="24"/>
        </w:rPr>
        <w:t>CONCEPTS ASSESSED (Understanding Demonstrated)</w:t>
      </w:r>
    </w:p>
    <w:p w14:paraId="522E5436" w14:textId="77777777" w:rsidR="003140CB" w:rsidRPr="003140CB" w:rsidRDefault="003140CB" w:rsidP="003140CB">
      <w:pPr>
        <w:rPr>
          <w:rFonts w:ascii="Times New Roman" w:hAnsi="Times New Roman" w:cs="Times New Roman"/>
          <w:sz w:val="24"/>
        </w:rPr>
      </w:pPr>
      <w:r w:rsidRPr="003140CB">
        <w:rPr>
          <w:rFonts w:ascii="Times New Roman" w:hAnsi="Times New Roman" w:cs="Times New Roman"/>
          <w:sz w:val="24"/>
        </w:rPr>
        <w:t xml:space="preserve">• </w:t>
      </w:r>
      <w:r w:rsidRPr="003140CB">
        <w:rPr>
          <w:rFonts w:ascii="Times New Roman" w:hAnsi="Times New Roman" w:cs="Times New Roman"/>
          <w:b/>
          <w:bCs/>
          <w:sz w:val="24"/>
        </w:rPr>
        <w:t>Tacit Knowledge:</w:t>
      </w:r>
      <w:r w:rsidRPr="003140CB">
        <w:rPr>
          <w:rFonts w:ascii="Times New Roman" w:hAnsi="Times New Roman" w:cs="Times New Roman"/>
          <w:sz w:val="24"/>
        </w:rPr>
        <w:t xml:space="preserve"> Clear explanation and correct, case-based example (admissions staff using lived pattern-recognition to judge prospect intent).</w:t>
      </w:r>
      <w:r w:rsidRPr="003140CB">
        <w:rPr>
          <w:rFonts w:ascii="Times New Roman" w:hAnsi="Times New Roman" w:cs="Times New Roman"/>
          <w:sz w:val="24"/>
        </w:rPr>
        <w:br/>
        <w:t xml:space="preserve">• </w:t>
      </w:r>
      <w:r w:rsidRPr="003140CB">
        <w:rPr>
          <w:rFonts w:ascii="Times New Roman" w:hAnsi="Times New Roman" w:cs="Times New Roman"/>
          <w:b/>
          <w:bCs/>
          <w:sz w:val="24"/>
        </w:rPr>
        <w:t>IS vs SHOULD gap:</w:t>
      </w:r>
      <w:r w:rsidRPr="003140CB">
        <w:rPr>
          <w:rFonts w:ascii="Times New Roman" w:hAnsi="Times New Roman" w:cs="Times New Roman"/>
          <w:sz w:val="24"/>
        </w:rPr>
        <w:t xml:space="preserve"> Correctly articulated the distinction and connected it to </w:t>
      </w:r>
      <w:r w:rsidRPr="003140CB">
        <w:rPr>
          <w:rFonts w:ascii="Times New Roman" w:hAnsi="Times New Roman" w:cs="Times New Roman"/>
          <w:i/>
          <w:iCs/>
          <w:sz w:val="24"/>
        </w:rPr>
        <w:t>pre-enrollment invisibility</w:t>
      </w:r>
      <w:r w:rsidRPr="003140CB">
        <w:rPr>
          <w:rFonts w:ascii="Times New Roman" w:hAnsi="Times New Roman" w:cs="Times New Roman"/>
          <w:sz w:val="24"/>
        </w:rPr>
        <w:t xml:space="preserve"> and staff workarounds.</w:t>
      </w:r>
      <w:r w:rsidRPr="003140CB">
        <w:rPr>
          <w:rFonts w:ascii="Times New Roman" w:hAnsi="Times New Roman" w:cs="Times New Roman"/>
          <w:sz w:val="24"/>
        </w:rPr>
        <w:br/>
        <w:t xml:space="preserve">• </w:t>
      </w:r>
      <w:r w:rsidRPr="003140CB">
        <w:rPr>
          <w:rFonts w:ascii="Times New Roman" w:hAnsi="Times New Roman" w:cs="Times New Roman"/>
          <w:b/>
          <w:bCs/>
          <w:sz w:val="24"/>
        </w:rPr>
        <w:t>Data Collection Methods:</w:t>
      </w:r>
      <w:r w:rsidRPr="003140CB">
        <w:rPr>
          <w:rFonts w:ascii="Times New Roman" w:hAnsi="Times New Roman" w:cs="Times New Roman"/>
          <w:sz w:val="24"/>
        </w:rPr>
        <w:t xml:space="preserve"> Good trade-off reasoning (observation vs interviews); correctly remembered the team started with </w:t>
      </w:r>
      <w:r w:rsidRPr="003140CB">
        <w:rPr>
          <w:rFonts w:ascii="Times New Roman" w:hAnsi="Times New Roman" w:cs="Times New Roman"/>
          <w:b/>
          <w:bCs/>
          <w:sz w:val="24"/>
        </w:rPr>
        <w:t>interviews</w:t>
      </w:r>
      <w:r w:rsidRPr="003140CB">
        <w:rPr>
          <w:rFonts w:ascii="Times New Roman" w:hAnsi="Times New Roman" w:cs="Times New Roman"/>
          <w:sz w:val="24"/>
        </w:rPr>
        <w:t xml:space="preserve"> to map official processes.</w:t>
      </w:r>
      <w:r w:rsidRPr="003140CB">
        <w:rPr>
          <w:rFonts w:ascii="Times New Roman" w:hAnsi="Times New Roman" w:cs="Times New Roman"/>
          <w:sz w:val="24"/>
        </w:rPr>
        <w:br/>
        <w:t xml:space="preserve">• </w:t>
      </w:r>
      <w:r w:rsidRPr="003140CB">
        <w:rPr>
          <w:rFonts w:ascii="Times New Roman" w:hAnsi="Times New Roman" w:cs="Times New Roman"/>
          <w:b/>
          <w:bCs/>
          <w:sz w:val="24"/>
        </w:rPr>
        <w:t>Stakeholder Specificity:</w:t>
      </w:r>
      <w:r w:rsidRPr="003140CB">
        <w:rPr>
          <w:rFonts w:ascii="Times New Roman" w:hAnsi="Times New Roman" w:cs="Times New Roman"/>
          <w:sz w:val="24"/>
        </w:rPr>
        <w:t xml:space="preserve"> Understood why role-targeted messaging matters; correctly named students’ core fear and the project’s “you control your data” message.</w:t>
      </w:r>
      <w:r w:rsidRPr="003140CB">
        <w:rPr>
          <w:rFonts w:ascii="Times New Roman" w:hAnsi="Times New Roman" w:cs="Times New Roman"/>
          <w:sz w:val="24"/>
        </w:rPr>
        <w:br/>
        <w:t xml:space="preserve">• </w:t>
      </w:r>
      <w:r w:rsidRPr="003140CB">
        <w:rPr>
          <w:rFonts w:ascii="Times New Roman" w:hAnsi="Times New Roman" w:cs="Times New Roman"/>
          <w:b/>
          <w:bCs/>
          <w:sz w:val="24"/>
        </w:rPr>
        <w:t>Training is a Workflow:</w:t>
      </w:r>
      <w:r w:rsidRPr="003140CB">
        <w:rPr>
          <w:rFonts w:ascii="Times New Roman" w:hAnsi="Times New Roman" w:cs="Times New Roman"/>
          <w:sz w:val="24"/>
        </w:rPr>
        <w:t xml:space="preserve"> Correct grasp that training must enable competent task completion under pressure; distinguished staff (compliance/data integrity) vs students (confidence to complete tasks).</w:t>
      </w:r>
    </w:p>
    <w:p w14:paraId="566173A8" w14:textId="77777777" w:rsidR="003140CB" w:rsidRPr="003140CB" w:rsidRDefault="003140CB" w:rsidP="003140CB">
      <w:pPr>
        <w:rPr>
          <w:rFonts w:ascii="Times New Roman" w:hAnsi="Times New Roman" w:cs="Times New Roman"/>
          <w:sz w:val="24"/>
        </w:rPr>
      </w:pPr>
      <w:r w:rsidRPr="003140CB">
        <w:rPr>
          <w:rFonts w:ascii="Times New Roman" w:hAnsi="Times New Roman" w:cs="Times New Roman"/>
          <w:sz w:val="24"/>
        </w:rPr>
        <w:pict w14:anchorId="652128D1">
          <v:rect id="_x0000_i1050" style="width:0;height:1.5pt" o:hralign="center" o:hrstd="t" o:hr="t" fillcolor="#a0a0a0" stroked="f"/>
        </w:pict>
      </w:r>
    </w:p>
    <w:p w14:paraId="739EDE47" w14:textId="77777777" w:rsidR="003140CB" w:rsidRPr="003140CB" w:rsidRDefault="003140CB" w:rsidP="003140CB">
      <w:pPr>
        <w:rPr>
          <w:rFonts w:ascii="Times New Roman" w:hAnsi="Times New Roman" w:cs="Times New Roman"/>
          <w:b/>
          <w:bCs/>
          <w:sz w:val="24"/>
        </w:rPr>
      </w:pPr>
      <w:r w:rsidRPr="003140CB">
        <w:rPr>
          <w:rFonts w:ascii="Times New Roman" w:hAnsi="Times New Roman" w:cs="Times New Roman"/>
          <w:b/>
          <w:bCs/>
          <w:sz w:val="24"/>
        </w:rPr>
        <w:t>CONTEXTUAL APPLICATION</w:t>
      </w:r>
    </w:p>
    <w:p w14:paraId="30C2395D" w14:textId="77777777" w:rsidR="003140CB" w:rsidRPr="003140CB" w:rsidRDefault="003140CB" w:rsidP="003140CB">
      <w:pPr>
        <w:rPr>
          <w:rFonts w:ascii="Times New Roman" w:hAnsi="Times New Roman" w:cs="Times New Roman"/>
          <w:sz w:val="24"/>
        </w:rPr>
      </w:pPr>
      <w:r w:rsidRPr="003140CB">
        <w:rPr>
          <w:rFonts w:ascii="Times New Roman" w:hAnsi="Times New Roman" w:cs="Times New Roman"/>
          <w:b/>
          <w:bCs/>
          <w:sz w:val="24"/>
        </w:rPr>
        <w:t>Process described:</w:t>
      </w:r>
      <w:r w:rsidRPr="003140CB">
        <w:rPr>
          <w:rFonts w:ascii="Times New Roman" w:hAnsi="Times New Roman" w:cs="Times New Roman"/>
          <w:sz w:val="24"/>
        </w:rPr>
        <w:t xml:space="preserve"> Course registration — filling the Albert shopping cart and frantically spamming “enroll” at the deadline while relying on device/workaround tactics when the system or network seems unreliable.</w:t>
      </w:r>
    </w:p>
    <w:p w14:paraId="261F6A19" w14:textId="77777777" w:rsidR="003140CB" w:rsidRPr="003140CB" w:rsidRDefault="003140CB" w:rsidP="003140CB">
      <w:pPr>
        <w:rPr>
          <w:rFonts w:ascii="Times New Roman" w:hAnsi="Times New Roman" w:cs="Times New Roman"/>
          <w:sz w:val="24"/>
        </w:rPr>
      </w:pPr>
      <w:r w:rsidRPr="003140CB">
        <w:rPr>
          <w:rFonts w:ascii="Times New Roman" w:hAnsi="Times New Roman" w:cs="Times New Roman"/>
          <w:b/>
          <w:bCs/>
          <w:sz w:val="24"/>
        </w:rPr>
        <w:t>Concepts observed in that example:</w:t>
      </w:r>
      <w:r w:rsidRPr="003140CB">
        <w:rPr>
          <w:rFonts w:ascii="Times New Roman" w:hAnsi="Times New Roman" w:cs="Times New Roman"/>
          <w:sz w:val="24"/>
        </w:rPr>
        <w:br/>
        <w:t xml:space="preserve">• </w:t>
      </w:r>
      <w:r w:rsidRPr="003140CB">
        <w:rPr>
          <w:rFonts w:ascii="Times New Roman" w:hAnsi="Times New Roman" w:cs="Times New Roman"/>
          <w:b/>
          <w:bCs/>
          <w:sz w:val="24"/>
        </w:rPr>
        <w:t>IS vs SHOULD gap / Workarounds:</w:t>
      </w:r>
      <w:r w:rsidRPr="003140CB">
        <w:rPr>
          <w:rFonts w:ascii="Times New Roman" w:hAnsi="Times New Roman" w:cs="Times New Roman"/>
          <w:sz w:val="24"/>
        </w:rPr>
        <w:t xml:space="preserve"> The official “one-click” enrollment (SHOULD) vs the messy reality of lag and connectivity (IS); students adopt workarounds (multiple devices, rebooting routers) to cope.</w:t>
      </w:r>
      <w:r w:rsidRPr="003140CB">
        <w:rPr>
          <w:rFonts w:ascii="Times New Roman" w:hAnsi="Times New Roman" w:cs="Times New Roman"/>
          <w:sz w:val="24"/>
        </w:rPr>
        <w:br/>
        <w:t xml:space="preserve">• </w:t>
      </w:r>
      <w:r w:rsidRPr="003140CB">
        <w:rPr>
          <w:rFonts w:ascii="Times New Roman" w:hAnsi="Times New Roman" w:cs="Times New Roman"/>
          <w:b/>
          <w:bCs/>
          <w:sz w:val="24"/>
        </w:rPr>
        <w:t>Tacit Knowledge:</w:t>
      </w:r>
      <w:r w:rsidRPr="003140CB">
        <w:rPr>
          <w:rFonts w:ascii="Times New Roman" w:hAnsi="Times New Roman" w:cs="Times New Roman"/>
          <w:sz w:val="24"/>
        </w:rPr>
        <w:t xml:space="preserve"> Students’ survival tactics and timing strategies are informal practices learned by experience and not captured in official documentation.</w:t>
      </w:r>
      <w:r w:rsidRPr="003140CB">
        <w:rPr>
          <w:rFonts w:ascii="Times New Roman" w:hAnsi="Times New Roman" w:cs="Times New Roman"/>
          <w:sz w:val="24"/>
        </w:rPr>
        <w:br/>
        <w:t xml:space="preserve">• </w:t>
      </w:r>
      <w:r w:rsidRPr="003140CB">
        <w:rPr>
          <w:rFonts w:ascii="Times New Roman" w:hAnsi="Times New Roman" w:cs="Times New Roman"/>
          <w:b/>
          <w:bCs/>
          <w:sz w:val="24"/>
        </w:rPr>
        <w:t>Data Collection / Observation Need:</w:t>
      </w:r>
      <w:r w:rsidRPr="003140CB">
        <w:rPr>
          <w:rFonts w:ascii="Times New Roman" w:hAnsi="Times New Roman" w:cs="Times New Roman"/>
          <w:sz w:val="24"/>
        </w:rPr>
        <w:t xml:space="preserve"> This situation is exactly where observation would surface the “survival tactics” that interviews or documents miss (the team would need to watch real enrollments to see these behaviors).</w:t>
      </w:r>
    </w:p>
    <w:p w14:paraId="1E35F53C" w14:textId="77777777" w:rsidR="003140CB" w:rsidRPr="003140CB" w:rsidRDefault="003140CB" w:rsidP="003140CB">
      <w:pPr>
        <w:rPr>
          <w:rFonts w:ascii="Times New Roman" w:hAnsi="Times New Roman" w:cs="Times New Roman"/>
          <w:sz w:val="24"/>
        </w:rPr>
      </w:pPr>
      <w:r w:rsidRPr="003140CB">
        <w:rPr>
          <w:rFonts w:ascii="Times New Roman" w:hAnsi="Times New Roman" w:cs="Times New Roman"/>
          <w:sz w:val="24"/>
        </w:rPr>
        <w:pict w14:anchorId="4427D901">
          <v:rect id="_x0000_i1051" style="width:0;height:1.5pt" o:hralign="center" o:hrstd="t" o:hr="t" fillcolor="#a0a0a0" stroked="f"/>
        </w:pict>
      </w:r>
    </w:p>
    <w:p w14:paraId="170DC276" w14:textId="77777777" w:rsidR="003140CB" w:rsidRPr="003140CB" w:rsidRDefault="003140CB" w:rsidP="003140CB">
      <w:pPr>
        <w:rPr>
          <w:rFonts w:ascii="Times New Roman" w:hAnsi="Times New Roman" w:cs="Times New Roman"/>
          <w:b/>
          <w:bCs/>
          <w:sz w:val="24"/>
        </w:rPr>
      </w:pPr>
      <w:r w:rsidRPr="003140CB">
        <w:rPr>
          <w:rFonts w:ascii="Times New Roman" w:hAnsi="Times New Roman" w:cs="Times New Roman"/>
          <w:b/>
          <w:bCs/>
          <w:sz w:val="24"/>
        </w:rPr>
        <w:lastRenderedPageBreak/>
        <w:t>QUESTIONS FOR CLASS</w:t>
      </w:r>
    </w:p>
    <w:p w14:paraId="05E9DD2C" w14:textId="77777777" w:rsidR="003140CB" w:rsidRPr="003140CB" w:rsidRDefault="003140CB" w:rsidP="003140CB">
      <w:pPr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3140CB">
        <w:rPr>
          <w:rFonts w:ascii="Times New Roman" w:hAnsi="Times New Roman" w:cs="Times New Roman"/>
          <w:b/>
          <w:bCs/>
          <w:sz w:val="24"/>
        </w:rPr>
        <w:t>How can we build stakeholder trust in a new system when the legacy system is already trusted?</w:t>
      </w:r>
    </w:p>
    <w:p w14:paraId="77D68C37" w14:textId="77777777" w:rsidR="003140CB" w:rsidRPr="003140CB" w:rsidRDefault="003140CB" w:rsidP="003140CB">
      <w:pPr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3140CB">
        <w:rPr>
          <w:rFonts w:ascii="Times New Roman" w:hAnsi="Times New Roman" w:cs="Times New Roman"/>
          <w:b/>
          <w:bCs/>
          <w:sz w:val="24"/>
        </w:rPr>
        <w:t>For stakeholders who had defined responsibilities in the legacy system, how should those responsibilities be preserved, adapted, or reassigned during a transition to a new platform like Albert student information system?</w:t>
      </w:r>
    </w:p>
    <w:p w14:paraId="7CCE12C3" w14:textId="77777777" w:rsidR="003140CB" w:rsidRPr="003140CB" w:rsidRDefault="003140CB" w:rsidP="003140CB">
      <w:pPr>
        <w:rPr>
          <w:rFonts w:ascii="Times New Roman" w:hAnsi="Times New Roman" w:cs="Times New Roman"/>
          <w:sz w:val="24"/>
        </w:rPr>
      </w:pPr>
      <w:r w:rsidRPr="003140CB">
        <w:rPr>
          <w:rFonts w:ascii="Times New Roman" w:hAnsi="Times New Roman" w:cs="Times New Roman"/>
          <w:sz w:val="24"/>
        </w:rPr>
        <w:pict w14:anchorId="47BCD79A">
          <v:rect id="_x0000_i1052" style="width:0;height:1.5pt" o:hralign="center" o:hrstd="t" o:hr="t" fillcolor="#a0a0a0" stroked="f"/>
        </w:pict>
      </w:r>
    </w:p>
    <w:p w14:paraId="08B2BB8E" w14:textId="77777777" w:rsidR="003140CB" w:rsidRPr="003140CB" w:rsidRDefault="003140CB" w:rsidP="003140CB">
      <w:pPr>
        <w:rPr>
          <w:rFonts w:ascii="Times New Roman" w:hAnsi="Times New Roman" w:cs="Times New Roman"/>
          <w:b/>
          <w:bCs/>
          <w:sz w:val="24"/>
        </w:rPr>
      </w:pPr>
      <w:r w:rsidRPr="003140CB">
        <w:rPr>
          <w:rFonts w:ascii="Times New Roman" w:hAnsi="Times New Roman" w:cs="Times New Roman"/>
          <w:b/>
          <w:bCs/>
          <w:sz w:val="24"/>
        </w:rPr>
        <w:t>ASSESSMENT</w:t>
      </w:r>
    </w:p>
    <w:p w14:paraId="4BD1DBAD" w14:textId="77777777" w:rsidR="003140CB" w:rsidRPr="003140CB" w:rsidRDefault="003140CB" w:rsidP="003140CB">
      <w:pPr>
        <w:rPr>
          <w:rFonts w:ascii="Times New Roman" w:hAnsi="Times New Roman" w:cs="Times New Roman"/>
          <w:sz w:val="24"/>
        </w:rPr>
      </w:pPr>
      <w:r w:rsidRPr="003140CB">
        <w:rPr>
          <w:rFonts w:ascii="Times New Roman" w:hAnsi="Times New Roman" w:cs="Times New Roman"/>
          <w:b/>
          <w:bCs/>
          <w:sz w:val="24"/>
        </w:rPr>
        <w:t>Conceptual Understanding:</w:t>
      </w:r>
      <w:r w:rsidRPr="003140CB">
        <w:rPr>
          <w:rFonts w:ascii="Times New Roman" w:hAnsi="Times New Roman" w:cs="Times New Roman"/>
          <w:sz w:val="24"/>
        </w:rPr>
        <w:t xml:space="preserve"> Solid — consistently graduate-level articulation and correct linkage to the readings.</w:t>
      </w:r>
      <w:r w:rsidRPr="003140CB">
        <w:rPr>
          <w:rFonts w:ascii="Times New Roman" w:hAnsi="Times New Roman" w:cs="Times New Roman"/>
          <w:sz w:val="24"/>
        </w:rPr>
        <w:br/>
      </w:r>
      <w:r w:rsidRPr="003140CB">
        <w:rPr>
          <w:rFonts w:ascii="Times New Roman" w:hAnsi="Times New Roman" w:cs="Times New Roman"/>
          <w:b/>
          <w:bCs/>
          <w:sz w:val="24"/>
        </w:rPr>
        <w:t>Application Ability:</w:t>
      </w:r>
      <w:r w:rsidRPr="003140CB">
        <w:rPr>
          <w:rFonts w:ascii="Times New Roman" w:hAnsi="Times New Roman" w:cs="Times New Roman"/>
          <w:sz w:val="24"/>
        </w:rPr>
        <w:t xml:space="preserve"> Can apply concepts to a real process (course registration) and identify which methods would surface hidden behaviors.</w:t>
      </w:r>
      <w:r w:rsidRPr="003140CB">
        <w:rPr>
          <w:rFonts w:ascii="Times New Roman" w:hAnsi="Times New Roman" w:cs="Times New Roman"/>
          <w:sz w:val="24"/>
        </w:rPr>
        <w:br/>
      </w:r>
      <w:r w:rsidRPr="003140CB">
        <w:rPr>
          <w:rFonts w:ascii="Times New Roman" w:hAnsi="Times New Roman" w:cs="Times New Roman"/>
          <w:b/>
          <w:bCs/>
          <w:sz w:val="24"/>
        </w:rPr>
        <w:t>Question Quality:</w:t>
      </w:r>
      <w:r w:rsidRPr="003140CB">
        <w:rPr>
          <w:rFonts w:ascii="Times New Roman" w:hAnsi="Times New Roman" w:cs="Times New Roman"/>
          <w:sz w:val="24"/>
        </w:rPr>
        <w:t xml:space="preserve"> Substantive and specific — both questions are class-ready and invite discussion of trade-offs and change management tactics.</w:t>
      </w:r>
      <w:r w:rsidRPr="003140CB">
        <w:rPr>
          <w:rFonts w:ascii="Times New Roman" w:hAnsi="Times New Roman" w:cs="Times New Roman"/>
          <w:sz w:val="24"/>
        </w:rPr>
        <w:br/>
      </w:r>
      <w:r w:rsidRPr="003140CB">
        <w:rPr>
          <w:rFonts w:ascii="Times New Roman" w:hAnsi="Times New Roman" w:cs="Times New Roman"/>
          <w:b/>
          <w:bCs/>
          <w:sz w:val="24"/>
        </w:rPr>
        <w:t>Overall Readiness:</w:t>
      </w:r>
      <w:r w:rsidRPr="003140CB">
        <w:rPr>
          <w:rFonts w:ascii="Times New Roman" w:hAnsi="Times New Roman" w:cs="Times New Roman"/>
          <w:sz w:val="24"/>
        </w:rPr>
        <w:t xml:space="preserve"> Well-prepared for class discussion.</w:t>
      </w:r>
    </w:p>
    <w:p w14:paraId="4CE55250" w14:textId="77777777" w:rsidR="003140CB" w:rsidRPr="003140CB" w:rsidRDefault="003140CB" w:rsidP="003140CB">
      <w:pPr>
        <w:rPr>
          <w:rFonts w:ascii="Times New Roman" w:hAnsi="Times New Roman" w:cs="Times New Roman"/>
          <w:sz w:val="24"/>
        </w:rPr>
      </w:pPr>
      <w:r w:rsidRPr="003140CB">
        <w:rPr>
          <w:rFonts w:ascii="Times New Roman" w:hAnsi="Times New Roman" w:cs="Times New Roman"/>
          <w:b/>
          <w:bCs/>
          <w:sz w:val="24"/>
        </w:rPr>
        <w:t>Notes:</w:t>
      </w:r>
      <w:r w:rsidRPr="003140CB">
        <w:rPr>
          <w:rFonts w:ascii="Times New Roman" w:hAnsi="Times New Roman" w:cs="Times New Roman"/>
          <w:sz w:val="24"/>
        </w:rPr>
        <w:t xml:space="preserve"> Good use of case examples from the readings (pre-enrollment invisibility, tacit admissions judgment). Bring the course-registration anecdote to class — it’s a strong, concrete illustration that will help ground discussion.</w:t>
      </w:r>
    </w:p>
    <w:p w14:paraId="3C4BCB1E" w14:textId="77777777" w:rsidR="003140CB" w:rsidRPr="003140CB" w:rsidRDefault="003140CB"/>
    <w:sectPr w:rsidR="003140CB" w:rsidRPr="003140CB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D56F71"/>
    <w:multiLevelType w:val="multilevel"/>
    <w:tmpl w:val="28D00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3148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0CB"/>
    <w:rsid w:val="003140CB"/>
    <w:rsid w:val="00710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7B83A"/>
  <w15:chartTrackingRefBased/>
  <w15:docId w15:val="{356B6092-6749-4941-8297-27968ECBC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140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4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40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40C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40C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40C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40C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40C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40C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140C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140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140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140C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140C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140C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140C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140C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140C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140C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14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40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140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4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140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40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140C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140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140C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140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423</Words>
  <Characters>2413</Characters>
  <Application>Microsoft Office Word</Application>
  <DocSecurity>0</DocSecurity>
  <Lines>20</Lines>
  <Paragraphs>5</Paragraphs>
  <ScaleCrop>false</ScaleCrop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明宇 贺</dc:creator>
  <cp:keywords/>
  <dc:description/>
  <cp:lastModifiedBy>明宇 贺</cp:lastModifiedBy>
  <cp:revision>1</cp:revision>
  <dcterms:created xsi:type="dcterms:W3CDTF">2026-04-15T15:59:00Z</dcterms:created>
  <dcterms:modified xsi:type="dcterms:W3CDTF">2026-04-15T16:01:00Z</dcterms:modified>
</cp:coreProperties>
</file>