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24F2" w14:textId="77777777" w:rsidR="004C0FCD" w:rsidRPr="004C0FCD" w:rsidRDefault="004C0FCD" w:rsidP="004C0FCD">
      <w:pPr>
        <w:rPr>
          <w:rFonts w:ascii="Times New Roman" w:hAnsi="Times New Roman" w:cs="Times New Roman"/>
        </w:rPr>
      </w:pPr>
      <w:r w:rsidRPr="004C0FCD">
        <w:rPr>
          <w:rFonts w:ascii="Times New Roman" w:hAnsi="Times New Roman" w:cs="Times New Roman"/>
        </w:rPr>
        <w:t>PRE-CLASS ASSESSMENT SUMMARY</w:t>
      </w:r>
    </w:p>
    <w:p w14:paraId="2A844F81" w14:textId="77777777" w:rsidR="004C0FCD" w:rsidRPr="004C0FCD" w:rsidRDefault="004C0FCD" w:rsidP="004C0FCD">
      <w:pPr>
        <w:rPr>
          <w:rFonts w:ascii="Times New Roman" w:hAnsi="Times New Roman" w:cs="Times New Roman"/>
        </w:rPr>
      </w:pPr>
      <w:r w:rsidRPr="004C0FCD">
        <w:rPr>
          <w:rFonts w:ascii="Times New Roman" w:hAnsi="Times New Roman" w:cs="Times New Roman"/>
        </w:rPr>
        <w:t>Student: Mingyu He</w:t>
      </w:r>
      <w:r w:rsidRPr="004C0FCD">
        <w:rPr>
          <w:rFonts w:ascii="Times New Roman" w:hAnsi="Times New Roman" w:cs="Times New Roman"/>
        </w:rPr>
        <w:br/>
        <w:t>Date: March 31, 2026</w:t>
      </w:r>
      <w:r w:rsidRPr="004C0FCD">
        <w:rPr>
          <w:rFonts w:ascii="Times New Roman" w:hAnsi="Times New Roman" w:cs="Times New Roman"/>
        </w:rPr>
        <w:br/>
        <w:t>Duration: ~25 minutes</w:t>
      </w:r>
    </w:p>
    <w:p w14:paraId="30EACE86" w14:textId="77777777" w:rsidR="004C0FCD" w:rsidRPr="004C0FCD" w:rsidRDefault="004C0FCD" w:rsidP="004C0FCD">
      <w:pPr>
        <w:rPr>
          <w:rFonts w:ascii="Times New Roman" w:hAnsi="Times New Roman" w:cs="Times New Roman"/>
        </w:rPr>
      </w:pPr>
      <w:r w:rsidRPr="004C0FCD">
        <w:rPr>
          <w:rFonts w:ascii="Times New Roman" w:hAnsi="Times New Roman" w:cs="Times New Roman"/>
        </w:rPr>
        <w:t>CONCEPTS ASSESSED (Understanding Demonstrated):</w:t>
      </w:r>
      <w:r w:rsidRPr="004C0FCD">
        <w:rPr>
          <w:rFonts w:ascii="Times New Roman" w:hAnsi="Times New Roman" w:cs="Times New Roman"/>
        </w:rPr>
        <w:br/>
        <w:t>• Tacit knowledge: Demonstrated strong understanding — identified experiential cues and explained why these are omitted from formal docs (example from HR hiring).</w:t>
      </w:r>
      <w:r w:rsidRPr="004C0FCD">
        <w:rPr>
          <w:rFonts w:ascii="Times New Roman" w:hAnsi="Times New Roman" w:cs="Times New Roman"/>
        </w:rPr>
        <w:br/>
        <w:t>• IS vs. SHOULD gap: Clear explanation of the divergence between idealized procedures and lived workarounds; recognized operational and compliance risks.</w:t>
      </w:r>
      <w:r w:rsidRPr="004C0FCD">
        <w:rPr>
          <w:rFonts w:ascii="Times New Roman" w:hAnsi="Times New Roman" w:cs="Times New Roman"/>
        </w:rPr>
        <w:br/>
        <w:t>• Data collection methods: Correctly contrasted observation vs. interviews and identified observation as best for surfacing tacit knowledge.</w:t>
      </w:r>
      <w:r w:rsidRPr="004C0FCD">
        <w:rPr>
          <w:rFonts w:ascii="Times New Roman" w:hAnsi="Times New Roman" w:cs="Times New Roman"/>
        </w:rPr>
        <w:br/>
        <w:t>• Safe-AI design (RAG / confidence thresholds): Good grasp of why grounding + an 85% confidence threshold reduce hallucination risk and legal exposure.</w:t>
      </w:r>
      <w:r w:rsidRPr="004C0FCD">
        <w:rPr>
          <w:rFonts w:ascii="Times New Roman" w:hAnsi="Times New Roman" w:cs="Times New Roman"/>
        </w:rPr>
        <w:br/>
        <w:t>• FERPA, RBAC &amp; auditability: Solid account of RBAC as a protection mechanism and why immutable logs are necessary for accountability; gave an appropriate forbidden-permission example.</w:t>
      </w:r>
      <w:r w:rsidRPr="004C0FCD">
        <w:rPr>
          <w:rFonts w:ascii="Times New Roman" w:hAnsi="Times New Roman" w:cs="Times New Roman"/>
        </w:rPr>
        <w:br/>
        <w:t>• Algorithmic bias &amp; mitigation: Correctly identified historical-data entrenchment risk and proposed disparate-impact analysis + synthetic balancing as mitigation steps.</w:t>
      </w:r>
    </w:p>
    <w:p w14:paraId="3B01A92C" w14:textId="77777777" w:rsidR="004C0FCD" w:rsidRPr="004C0FCD" w:rsidRDefault="004C0FCD" w:rsidP="004C0FCD">
      <w:pPr>
        <w:rPr>
          <w:rFonts w:ascii="Times New Roman" w:hAnsi="Times New Roman" w:cs="Times New Roman"/>
        </w:rPr>
      </w:pPr>
      <w:r w:rsidRPr="004C0FCD">
        <w:rPr>
          <w:rFonts w:ascii="Times New Roman" w:hAnsi="Times New Roman" w:cs="Times New Roman"/>
        </w:rPr>
        <w:t>CONTEXTUAL APPLICATION:</w:t>
      </w:r>
      <w:r w:rsidRPr="004C0FCD">
        <w:rPr>
          <w:rFonts w:ascii="Times New Roman" w:hAnsi="Times New Roman" w:cs="Times New Roman"/>
        </w:rPr>
        <w:br/>
        <w:t>Described the hiring-request flow (department head → automated budget checks → manual Finance/HR reviews). Applied concepts: identified tacit heuristics (who can expedite approvals), an IS vs. SHOULD gap where back-channel approvals occur, and bias risks where automation could perpetuate historical funding/hiring patterns. Demonstrated ability to map readings to a realistic organizational process.</w:t>
      </w:r>
    </w:p>
    <w:p w14:paraId="49C3C331" w14:textId="77777777" w:rsidR="004C0FCD" w:rsidRPr="004C0FCD" w:rsidRDefault="004C0FCD" w:rsidP="004C0FCD">
      <w:pPr>
        <w:rPr>
          <w:rFonts w:ascii="Times New Roman" w:hAnsi="Times New Roman" w:cs="Times New Roman"/>
        </w:rPr>
      </w:pPr>
      <w:r w:rsidRPr="004C0FCD">
        <w:rPr>
          <w:rFonts w:ascii="Times New Roman" w:hAnsi="Times New Roman" w:cs="Times New Roman"/>
        </w:rPr>
        <w:t>QUESTIONS FOR CLASS:</w:t>
      </w:r>
    </w:p>
    <w:p w14:paraId="76241034" w14:textId="77777777" w:rsidR="004C0FCD" w:rsidRPr="004C0FCD" w:rsidRDefault="004C0FCD" w:rsidP="004C0F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0FCD">
        <w:rPr>
          <w:rFonts w:ascii="Times New Roman" w:hAnsi="Times New Roman" w:cs="Times New Roman"/>
        </w:rPr>
        <w:t>"Under what legal and contractual conditions would a university be held responsible for harms caused by incorrect AI-generated administrative advice (for example, a chatbot providing an incorrect registration or scholarship deadline), and what institutional remedies or appeals processes should students be guaranteed in such cases?"</w:t>
      </w:r>
    </w:p>
    <w:p w14:paraId="608EA030" w14:textId="77777777" w:rsidR="004C0FCD" w:rsidRPr="004C0FCD" w:rsidRDefault="004C0FCD" w:rsidP="004C0F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0FCD">
        <w:rPr>
          <w:rFonts w:ascii="Times New Roman" w:hAnsi="Times New Roman" w:cs="Times New Roman"/>
        </w:rPr>
        <w:t>"Under what institutional policies and procedural mechanisms do students retain the right to opt out of AI-influenced recommendations (for example, course or scholarship suggestions), and how should universities operationalize, log, and audit those opt-out requests to ensure timely, documented human review?"</w:t>
      </w:r>
    </w:p>
    <w:p w14:paraId="5AA430AC" w14:textId="77777777" w:rsidR="004C0FCD" w:rsidRPr="004C0FCD" w:rsidRDefault="004C0FCD" w:rsidP="004C0FCD">
      <w:pPr>
        <w:rPr>
          <w:rFonts w:ascii="Times New Roman" w:hAnsi="Times New Roman" w:cs="Times New Roman"/>
        </w:rPr>
      </w:pPr>
      <w:r w:rsidRPr="004C0FCD">
        <w:rPr>
          <w:rFonts w:ascii="Times New Roman" w:hAnsi="Times New Roman" w:cs="Times New Roman"/>
        </w:rPr>
        <w:t>ASSESSMENT:</w:t>
      </w:r>
      <w:r w:rsidRPr="004C0FCD">
        <w:rPr>
          <w:rFonts w:ascii="Times New Roman" w:hAnsi="Times New Roman" w:cs="Times New Roman"/>
        </w:rPr>
        <w:br/>
        <w:t>Conceptual Understanding: Strong</w:t>
      </w:r>
      <w:r w:rsidRPr="004C0FCD">
        <w:rPr>
          <w:rFonts w:ascii="Times New Roman" w:hAnsi="Times New Roman" w:cs="Times New Roman"/>
        </w:rPr>
        <w:br/>
        <w:t>Application Ability: Can apply to new contexts</w:t>
      </w:r>
      <w:r w:rsidRPr="004C0FCD">
        <w:rPr>
          <w:rFonts w:ascii="Times New Roman" w:hAnsi="Times New Roman" w:cs="Times New Roman"/>
        </w:rPr>
        <w:br/>
      </w:r>
      <w:r w:rsidRPr="004C0FCD">
        <w:rPr>
          <w:rFonts w:ascii="Times New Roman" w:hAnsi="Times New Roman" w:cs="Times New Roman"/>
        </w:rPr>
        <w:lastRenderedPageBreak/>
        <w:t>Question Quality: Substantive and specific — suitable for class discussion</w:t>
      </w:r>
      <w:r w:rsidRPr="004C0FCD">
        <w:rPr>
          <w:rFonts w:ascii="Times New Roman" w:hAnsi="Times New Roman" w:cs="Times New Roman"/>
        </w:rPr>
        <w:br/>
        <w:t>Overall Readiness: Well-prepared</w:t>
      </w:r>
    </w:p>
    <w:p w14:paraId="67EC0B27" w14:textId="77777777" w:rsidR="004C0FCD" w:rsidRPr="004C0FCD" w:rsidRDefault="004C0FCD" w:rsidP="004C0FCD">
      <w:pPr>
        <w:rPr>
          <w:rFonts w:ascii="Times New Roman" w:hAnsi="Times New Roman" w:cs="Times New Roman"/>
        </w:rPr>
      </w:pPr>
      <w:r w:rsidRPr="004C0FCD">
        <w:rPr>
          <w:rFonts w:ascii="Times New Roman" w:hAnsi="Times New Roman" w:cs="Times New Roman"/>
        </w:rPr>
        <w:t>NOTES: Mingyu provided concrete, experience-based examples (HR hiring) that illustrated tacit knowledge and the IS vs. SHOULD gap. Responses consistently reached graduate-level analysis (trade-offs, legal risk, and mitigation). The two class questions are well-scoped for discussion and will likely prompt useful legal, technical, and policy debate.</w:t>
      </w:r>
    </w:p>
    <w:p w14:paraId="24B032AC" w14:textId="77777777" w:rsidR="004C0FCD" w:rsidRPr="004C0FCD" w:rsidRDefault="004C0FCD"/>
    <w:sectPr w:rsidR="004C0FCD" w:rsidRPr="004C0FCD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3E1E"/>
    <w:multiLevelType w:val="multilevel"/>
    <w:tmpl w:val="9C7E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06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CD"/>
    <w:rsid w:val="004C0FCD"/>
    <w:rsid w:val="00D4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B2DF"/>
  <w15:chartTrackingRefBased/>
  <w15:docId w15:val="{4DFF9C7F-74CF-4B34-82F3-C60E83B1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0F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F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FC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FC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FC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F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F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F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0FC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0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0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0FC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0FC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0FC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0F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0F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0F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0F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0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F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0F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0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0F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0F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0F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0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0F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0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1</cp:revision>
  <dcterms:created xsi:type="dcterms:W3CDTF">2026-04-01T00:17:00Z</dcterms:created>
  <dcterms:modified xsi:type="dcterms:W3CDTF">2026-04-01T00:18:00Z</dcterms:modified>
</cp:coreProperties>
</file>