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24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RECOMMENDATION: Assessment and grading (end-to-end) — from assignment design to final grade submission</w:t>
      </w:r>
    </w:p>
    <w:p w14:paraId="774BA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Critical Task Statement: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NYU Professor</w:t>
      </w:r>
      <w:r>
        <w:rPr>
          <w:rFonts w:hint="default" w:ascii="Times New Roman" w:hAnsi="Times New Roman" w:cs="Times New Roman"/>
          <w:sz w:val="24"/>
          <w:szCs w:val="24"/>
        </w:rPr>
        <w:t xml:space="preserve"> evaluates student work and records course grades in order to ensure fair, timely assessment and accurate academic records that support student progress and institutional compliance.</w:t>
      </w:r>
    </w:p>
    <w:p w14:paraId="2B573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Justification:</w:t>
      </w:r>
    </w:p>
    <w:p w14:paraId="4D3A8E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Frequency: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Happens continuously during the term (weekly assignments, midterms, participation) and peaks at midterm/finals—so it’s one of the most repeated workflows.</w:t>
      </w:r>
    </w:p>
    <w:p w14:paraId="5A73F6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Directly affects every student in the course, plus downstream stakeholders (advisors, departments, registrar processes, academic standing, graduation checks).</w:t>
      </w:r>
    </w:p>
    <w:p w14:paraId="2DD5A3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Pain Points:</w:t>
      </w:r>
    </w:p>
    <w:p w14:paraId="77ECE83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 volume of submissions + time pressure</w:t>
      </w:r>
    </w:p>
    <w:p w14:paraId="56966E76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Consistency/fairness across sections and TAs</w:t>
      </w:r>
    </w:p>
    <w:p w14:paraId="641879E9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Managing extensions, regrades, and edge cases</w:t>
      </w:r>
    </w:p>
    <w:p w14:paraId="1A09BFB5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Academic integrity incidents and documentation</w:t>
      </w:r>
    </w:p>
    <w:p w14:paraId="030C30F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Grade entry across systems (LMS → department expectations → final submission)</w:t>
      </w:r>
    </w:p>
    <w:p w14:paraId="05C010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GenAI Potential: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Strong opportunity for AI-assisted support while keeping human authority:</w:t>
      </w:r>
    </w:p>
    <w:p w14:paraId="3438BBDB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Draft rubric language and feedback templates</w:t>
      </w:r>
    </w:p>
    <w:p w14:paraId="7F8B8B8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Summarize common errors across a class for targeted reteaching</w:t>
      </w:r>
    </w:p>
    <w:p w14:paraId="27758A5C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Triage regrade requests and flag missing evidence</w:t>
      </w:r>
    </w:p>
    <w:p w14:paraId="6349BD7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Help check rubric alignment with learning objectives</w:t>
      </w:r>
    </w:p>
    <w:p w14:paraId="1EF67A7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Assist in academic integrity case write-ups and evidence organization (prof remains decision-maker)</w:t>
      </w:r>
    </w:p>
    <w:p w14:paraId="70C4E0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Strategic Value: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This workflow sits at the intersection of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instruction quality + student experience + official university records</w:t>
      </w:r>
      <w:r>
        <w:rPr>
          <w:rFonts w:hint="default" w:ascii="Times New Roman" w:hAnsi="Times New Roman" w:cs="Times New Roman"/>
          <w:sz w:val="24"/>
          <w:szCs w:val="24"/>
        </w:rPr>
        <w:t>, making it an ideal exemplar for redesign recommendations.</w:t>
      </w:r>
    </w:p>
    <w:p w14:paraId="4BF2D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Other workflows considered (why they’re secondary):</w:t>
      </w:r>
    </w:p>
    <w:p w14:paraId="3E74D1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Designing and delivering a course:</w:t>
      </w:r>
      <w:r>
        <w:rPr>
          <w:rFonts w:hint="default" w:ascii="Times New Roman" w:hAnsi="Times New Roman" w:cs="Times New Roman"/>
          <w:sz w:val="24"/>
          <w:szCs w:val="24"/>
        </w:rPr>
        <w:t xml:space="preserve"> high value, but more variable/creative and less “system-workflow” consistent across faculty.</w:t>
      </w:r>
    </w:p>
    <w:p w14:paraId="228399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Student support and mentoring:</w:t>
      </w:r>
      <w:r>
        <w:rPr>
          <w:rFonts w:hint="default" w:ascii="Times New Roman" w:hAnsi="Times New Roman" w:cs="Times New Roman"/>
          <w:sz w:val="24"/>
          <w:szCs w:val="24"/>
        </w:rPr>
        <w:t xml:space="preserve"> important, but harder to standardize and often less system-centered.</w:t>
      </w:r>
    </w:p>
    <w:p w14:paraId="2DAEABB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administration and coordination: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good candidate, but often episodic and depends on TA staffing/department norms.</w:t>
      </w:r>
    </w:p>
    <w:p w14:paraId="20FEC8E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Research workflow:</w:t>
      </w:r>
      <w:r>
        <w:rPr>
          <w:rFonts w:hint="default" w:ascii="Times New Roman" w:hAnsi="Times New Roman" w:cs="Times New Roman"/>
          <w:sz w:val="24"/>
          <w:szCs w:val="24"/>
        </w:rPr>
        <w:t xml:space="preserve"> highly role-dependent (tenure-line vs adjunct/teaching track) and can sprawl beyond one “core” institutional workflow.</w:t>
      </w:r>
    </w:p>
    <w:p w14:paraId="696E00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Service:</w:t>
      </w:r>
      <w:r>
        <w:rPr>
          <w:rFonts w:hint="default" w:ascii="Times New Roman" w:hAnsi="Times New Roman" w:cs="Times New Roman"/>
          <w:sz w:val="24"/>
          <w:szCs w:val="24"/>
        </w:rPr>
        <w:t xml:space="preserve"> meaningful but not typically the best exemplar for GenAI redesign in student-facing systems.</w:t>
      </w:r>
    </w:p>
    <w:p w14:paraId="45E55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4413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564617"/>
    <w:multiLevelType w:val="multilevel"/>
    <w:tmpl w:val="325646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395634C"/>
    <w:multiLevelType w:val="multilevel"/>
    <w:tmpl w:val="73956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4B6"/>
    <w:rsid w:val="004004B6"/>
    <w:rsid w:val="00422B4D"/>
    <w:rsid w:val="589C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289</Words>
  <Characters>1900</Characters>
  <Lines>15</Lines>
  <Paragraphs>4</Paragraphs>
  <TotalTime>1</TotalTime>
  <ScaleCrop>false</ScaleCrop>
  <LinksUpToDate>false</LinksUpToDate>
  <CharactersWithSpaces>2150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2026-02-12T15:49:00Z</dcterms:created>
  <dc:creator>明宇 贺</dc:creator>
  <cp:lastModifiedBy>风尘仆仆</cp:lastModifiedBy>
  <dcterms:modified xsi:type="dcterms:W3CDTF">2026-02-13T16:01:56Z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eyJoZGlkIjoiYmRhODFiNWExZjkwNzVlYzE0NWI1YmMwYTA1MDE1YzYiLCJ1c2VySWQiOiI2MDI2MTcyODMifQ==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0B32C75F545E4C0A8A2221F5658597B5_12</vt:lpwstr>
  </property>
</Properties>
</file>