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15817">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b/>
          <w:bCs/>
          <w:szCs w:val="22"/>
        </w:rPr>
      </w:pPr>
      <w:bookmarkStart w:id="0" w:name="_GoBack"/>
      <w:r>
        <w:rPr>
          <w:rFonts w:ascii="Times New Roman" w:hAnsi="Times New Roman" w:cs="Times New Roman"/>
          <w:b/>
          <w:bCs/>
          <w:szCs w:val="22"/>
        </w:rPr>
        <w:t>Functional Requirements Specification</w:t>
      </w:r>
    </w:p>
    <w:p w14:paraId="0B9D5C7A">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b/>
          <w:bCs/>
          <w:szCs w:val="22"/>
        </w:rPr>
      </w:pPr>
      <w:r>
        <w:rPr>
          <w:rFonts w:ascii="Times New Roman" w:hAnsi="Times New Roman" w:cs="Times New Roman"/>
          <w:b/>
          <w:bCs/>
          <w:szCs w:val="22"/>
        </w:rPr>
        <w:t>Proposed Redesign of Albert — NYU Student Registration &amp; Academic Management System</w:t>
      </w:r>
    </w:p>
    <w:p w14:paraId="2EF159F0">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szCs w:val="22"/>
        </w:rPr>
      </w:pPr>
      <w:r>
        <w:rPr>
          <w:rFonts w:ascii="Times New Roman" w:hAnsi="Times New Roman" w:cs="Times New Roman"/>
          <w:b/>
          <w:bCs/>
          <w:szCs w:val="22"/>
        </w:rPr>
        <w:t>Prepared by:</w:t>
      </w:r>
      <w:r>
        <w:rPr>
          <w:rFonts w:ascii="Times New Roman" w:hAnsi="Times New Roman" w:cs="Times New Roman"/>
          <w:szCs w:val="22"/>
        </w:rPr>
        <w:t xml:space="preserve"> Mingyu He, The Digital Forge</w:t>
      </w:r>
      <w:r>
        <w:rPr>
          <w:rFonts w:ascii="Times New Roman" w:hAnsi="Times New Roman" w:cs="Times New Roman"/>
          <w:szCs w:val="22"/>
        </w:rPr>
        <w:br w:type="textWrapping"/>
      </w:r>
      <w:r>
        <w:rPr>
          <w:rFonts w:ascii="Times New Roman" w:hAnsi="Times New Roman" w:cs="Times New Roman"/>
          <w:b/>
          <w:bCs/>
          <w:szCs w:val="22"/>
        </w:rPr>
        <w:t>Prepared for:</w:t>
      </w:r>
      <w:r>
        <w:rPr>
          <w:rFonts w:ascii="Times New Roman" w:hAnsi="Times New Roman" w:cs="Times New Roman"/>
          <w:szCs w:val="22"/>
        </w:rPr>
        <w:t xml:space="preserve"> NYU Dean, School of Professional Studies</w:t>
      </w:r>
      <w:r>
        <w:rPr>
          <w:rFonts w:ascii="Times New Roman" w:hAnsi="Times New Roman" w:cs="Times New Roman"/>
          <w:szCs w:val="22"/>
        </w:rPr>
        <w:br w:type="textWrapping"/>
      </w:r>
      <w:r>
        <w:rPr>
          <w:rFonts w:ascii="Times New Roman" w:hAnsi="Times New Roman" w:cs="Times New Roman"/>
          <w:b/>
          <w:bCs/>
          <w:szCs w:val="22"/>
        </w:rPr>
        <w:t>Date:</w:t>
      </w:r>
      <w:r>
        <w:rPr>
          <w:rFonts w:ascii="Times New Roman" w:hAnsi="Times New Roman" w:cs="Times New Roman"/>
          <w:szCs w:val="22"/>
        </w:rPr>
        <w:t xml:space="preserve"> March 1</w:t>
      </w:r>
      <w:r>
        <w:rPr>
          <w:rFonts w:hint="default" w:ascii="Times New Roman" w:hAnsi="Times New Roman" w:cs="Times New Roman"/>
          <w:szCs w:val="22"/>
          <w:lang w:val="en-GB"/>
        </w:rPr>
        <w:t>1</w:t>
      </w:r>
      <w:r>
        <w:rPr>
          <w:rFonts w:ascii="Times New Roman" w:hAnsi="Times New Roman" w:cs="Times New Roman"/>
          <w:szCs w:val="22"/>
        </w:rPr>
        <w:t>, 2026</w:t>
      </w:r>
    </w:p>
    <w:p w14:paraId="7C1406B4">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szCs w:val="22"/>
        </w:rPr>
      </w:pPr>
      <w:r>
        <w:rPr>
          <w:rFonts w:ascii="Times New Roman" w:hAnsi="Times New Roman" w:cs="Times New Roman"/>
          <w:szCs w:val="22"/>
        </w:rPr>
        <w:t>Prepared as part of a consulting proposal for review by NYU academic, operational, and compliance stakeholders.</w:t>
      </w:r>
    </w:p>
    <w:p w14:paraId="27522246">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szCs w:val="22"/>
        </w:rPr>
      </w:pPr>
      <w:r>
        <w:rPr>
          <w:rFonts w:ascii="Times New Roman" w:hAnsi="Times New Roman" w:cs="Times New Roman"/>
          <w:szCs w:val="22"/>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F9AD13">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b/>
          <w:bCs/>
          <w:szCs w:val="22"/>
        </w:rPr>
      </w:pPr>
      <w:r>
        <w:rPr>
          <w:rFonts w:ascii="Times New Roman" w:hAnsi="Times New Roman" w:cs="Times New Roman"/>
          <w:b/>
          <w:bCs/>
          <w:szCs w:val="22"/>
        </w:rPr>
        <w:t>1. System Overview</w:t>
      </w:r>
    </w:p>
    <w:p w14:paraId="49717CFB">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b w:val="0"/>
          <w:bCs w:val="0"/>
          <w:szCs w:val="22"/>
        </w:rPr>
      </w:pPr>
      <w:r>
        <w:rPr>
          <w:rFonts w:ascii="Times New Roman" w:hAnsi="Times New Roman" w:cs="Times New Roman"/>
          <w:b w:val="0"/>
          <w:bCs w:val="0"/>
          <w:szCs w:val="22"/>
        </w:rPr>
        <w:t>The Digital Forge proposes New Albert, a redesigned student registration and academic management platform for NYU. In plain terms, New Albert is a single, connected system that helps students register for courses, understand their academic progress, and resolve issues more quickly, while also giving advisors, faculty, and registrar staff a clearer way to support them. Today, too much of this work is manual, spread across different screens and systems, and dependent on follow-up for special cases. As a result, routine tasks take longer than they should, decisions can be inconsistent, and important details are easier to miss. New Albert is designed to bring these processes together into one coordinated experience.</w:t>
      </w:r>
    </w:p>
    <w:p w14:paraId="21D4832D">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b w:val="0"/>
          <w:bCs w:val="0"/>
          <w:szCs w:val="22"/>
        </w:rPr>
      </w:pPr>
      <w:r>
        <w:rPr>
          <w:rFonts w:ascii="Times New Roman" w:hAnsi="Times New Roman" w:cs="Times New Roman"/>
          <w:b w:val="0"/>
          <w:bCs w:val="0"/>
          <w:szCs w:val="22"/>
        </w:rPr>
        <w:t>The proposed system includes five capability areas: Course Registration &amp; Enrollment Management, Academic Planning &amp; Degree Audit, Analytics &amp; Reporting, AI-Powered Communication &amp; Support, and System Integrations &amp; Compliance. Together, these areas give NYU a more streamlined and student-centered platform that improves visibility, reduces administrative burden, and supports faster, more confident decision-making. By replacing fragmented, manual processes with one coordinated platform, New Albert will help NYU serve students faster, reduce administrative friction, and improve confidence in academic decisions across the university. This investment gives NYU the opportunity to improve the student experience, strengthen coordination across schools and offices, and build a more modern foundation for academic operations as the university continues to grow.</w:t>
      </w:r>
    </w:p>
    <w:p w14:paraId="70B90E97">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szCs w:val="22"/>
        </w:rPr>
      </w:pPr>
      <w:r>
        <w:rPr>
          <w:rFonts w:ascii="Times New Roman" w:hAnsi="Times New Roman" w:cs="Times New Roman"/>
          <w:szCs w:val="22"/>
        </w:rPr>
        <w:pict>
          <v:rect id="_x0000_i1026" o:spt="1" style="height:1.5pt;width:0pt;" fillcolor="#A0A0A0" filled="t" stroked="f" coordsize="21600,21600" o:hr="t" o:hrstd="t" o:hralign="center">
            <v:path/>
            <v:fill on="t" focussize="0,0"/>
            <v:stroke on="f"/>
            <v:imagedata o:title=""/>
            <o:lock v:ext="edit"/>
            <w10:wrap type="none"/>
            <w10:anchorlock/>
          </v:rect>
        </w:pict>
      </w:r>
    </w:p>
    <w:p w14:paraId="0671AE5F">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b/>
          <w:bCs/>
          <w:szCs w:val="22"/>
        </w:rPr>
      </w:pPr>
      <w:r>
        <w:rPr>
          <w:rFonts w:ascii="Times New Roman" w:hAnsi="Times New Roman" w:cs="Times New Roman"/>
          <w:b/>
          <w:bCs/>
          <w:szCs w:val="22"/>
        </w:rPr>
        <w:t>2. User Roles &amp; Access</w:t>
      </w:r>
    </w:p>
    <w:p w14:paraId="523B1B32">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b w:val="0"/>
          <w:bCs w:val="0"/>
          <w:szCs w:val="22"/>
        </w:rPr>
      </w:pPr>
      <w:r>
        <w:rPr>
          <w:rFonts w:ascii="Times New Roman" w:hAnsi="Times New Roman" w:cs="Times New Roman"/>
          <w:b w:val="0"/>
          <w:bCs w:val="0"/>
          <w:szCs w:val="22"/>
        </w:rPr>
        <w:t>New Albert will use role-based access so each user sees only the information and actions needed for their responsibilities. This approach protects student records, supports FERPA compliance, and creates a clear record of who viewed or changed sensitive information. Access is differentiated because NYU must ensure that student education records are available only to the student and to authorized personnel with a legitimate academic or administrative need.</w:t>
      </w:r>
    </w:p>
    <w:tbl>
      <w:tblPr>
        <w:tblStyle w:val="13"/>
        <w:tblW w:w="9116" w:type="dxa"/>
        <w:jc w:val="center"/>
        <w:tblCellSpacing w:w="15" w:type="dxa"/>
        <w:tblLayout w:type="autofit"/>
        <w:tblCellMar>
          <w:top w:w="15" w:type="dxa"/>
          <w:left w:w="15" w:type="dxa"/>
          <w:bottom w:w="15" w:type="dxa"/>
          <w:right w:w="15" w:type="dxa"/>
        </w:tblCellMar>
      </w:tblPr>
      <w:tblGrid>
        <w:gridCol w:w="1586"/>
        <w:gridCol w:w="3945"/>
        <w:gridCol w:w="3585"/>
      </w:tblGrid>
      <w:tr w14:paraId="4A8DF81D">
        <w:tblPrEx>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408F3F3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Times New Roman" w:hAnsi="Times New Roman" w:cs="Times New Roman"/>
                <w:b/>
                <w:bCs/>
                <w:szCs w:val="22"/>
              </w:rPr>
            </w:pPr>
            <w:r>
              <w:rPr>
                <w:rFonts w:ascii="Times New Roman" w:hAnsi="Times New Roman" w:cs="Times New Roman"/>
                <w:b/>
                <w:bCs/>
                <w:szCs w:val="22"/>
              </w:rPr>
              <w:t>User Role</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5278994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Times New Roman" w:hAnsi="Times New Roman" w:cs="Times New Roman"/>
                <w:b/>
                <w:bCs/>
                <w:szCs w:val="22"/>
              </w:rPr>
            </w:pPr>
            <w:r>
              <w:rPr>
                <w:rFonts w:ascii="Times New Roman" w:hAnsi="Times New Roman" w:cs="Times New Roman"/>
                <w:b/>
                <w:bCs/>
                <w:szCs w:val="22"/>
              </w:rPr>
              <w:t>Access &amp; Capabilities</w:t>
            </w:r>
          </w:p>
        </w:tc>
        <w:tc>
          <w:tcPr>
            <w:tcW w:w="3540"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779C845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Times New Roman" w:hAnsi="Times New Roman" w:cs="Times New Roman"/>
                <w:b/>
                <w:bCs/>
                <w:szCs w:val="22"/>
              </w:rPr>
            </w:pPr>
            <w:r>
              <w:rPr>
                <w:rFonts w:ascii="Times New Roman" w:hAnsi="Times New Roman" w:cs="Times New Roman"/>
                <w:b/>
                <w:bCs/>
                <w:szCs w:val="22"/>
              </w:rPr>
              <w:t>Key Restrictions</w:t>
            </w:r>
          </w:p>
        </w:tc>
      </w:tr>
      <w:tr w14:paraId="344B2DDB">
        <w:tblPrEx>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37449C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Times New Roman" w:hAnsi="Times New Roman" w:cs="Times New Roman"/>
                <w:szCs w:val="22"/>
              </w:rPr>
            </w:pPr>
            <w:r>
              <w:rPr>
                <w:rFonts w:ascii="Times New Roman" w:hAnsi="Times New Roman" w:cs="Times New Roman"/>
                <w:b/>
                <w:bCs/>
                <w:szCs w:val="22"/>
              </w:rPr>
              <w:t>Students</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F3F179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Times New Roman" w:hAnsi="Times New Roman" w:cs="Times New Roman"/>
                <w:szCs w:val="22"/>
              </w:rPr>
            </w:pPr>
            <w:r>
              <w:rPr>
                <w:rFonts w:ascii="Times New Roman" w:hAnsi="Times New Roman" w:cs="Times New Roman"/>
                <w:szCs w:val="22"/>
              </w:rPr>
              <w:t>Can search for courses, register, view schedules, check degree progress, see registration blockers, and receive alerts or guidance related to enrollment and academic standing.</w:t>
            </w:r>
          </w:p>
        </w:tc>
        <w:tc>
          <w:tcPr>
            <w:tcW w:w="354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278832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Times New Roman" w:hAnsi="Times New Roman" w:cs="Times New Roman"/>
                <w:szCs w:val="22"/>
              </w:rPr>
            </w:pPr>
            <w:r>
              <w:rPr>
                <w:rFonts w:ascii="Times New Roman" w:hAnsi="Times New Roman" w:cs="Times New Roman"/>
                <w:szCs w:val="22"/>
              </w:rPr>
              <w:t>May view only their own academic and registration records. No access to other students’ information.</w:t>
            </w:r>
          </w:p>
        </w:tc>
      </w:tr>
      <w:tr w14:paraId="7CF07FE5">
        <w:tblPrEx>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32AEC1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Times New Roman" w:hAnsi="Times New Roman" w:cs="Times New Roman"/>
                <w:szCs w:val="22"/>
              </w:rPr>
            </w:pPr>
            <w:r>
              <w:rPr>
                <w:rFonts w:ascii="Times New Roman" w:hAnsi="Times New Roman" w:cs="Times New Roman"/>
                <w:b/>
                <w:bCs/>
                <w:szCs w:val="22"/>
              </w:rPr>
              <w:t>Academic Advisors</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B138A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Times New Roman" w:hAnsi="Times New Roman" w:cs="Times New Roman"/>
                <w:szCs w:val="22"/>
              </w:rPr>
            </w:pPr>
            <w:r>
              <w:rPr>
                <w:rFonts w:ascii="Times New Roman" w:hAnsi="Times New Roman" w:cs="Times New Roman"/>
                <w:szCs w:val="22"/>
              </w:rPr>
              <w:t>Can view assigned student records, degree audits, holds, milestones, risk indicators, and registration status in order to advise students, support planning, and route exceptions.</w:t>
            </w:r>
          </w:p>
        </w:tc>
        <w:tc>
          <w:tcPr>
            <w:tcW w:w="354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9D64A6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Times New Roman" w:hAnsi="Times New Roman" w:cs="Times New Roman"/>
                <w:szCs w:val="22"/>
              </w:rPr>
            </w:pPr>
            <w:r>
              <w:rPr>
                <w:rFonts w:ascii="Times New Roman" w:hAnsi="Times New Roman" w:cs="Times New Roman"/>
                <w:szCs w:val="22"/>
              </w:rPr>
              <w:t>Access limited to students within their advising responsibility and approved advising functions.</w:t>
            </w:r>
          </w:p>
        </w:tc>
      </w:tr>
      <w:tr w14:paraId="1A429295">
        <w:tblPrEx>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1675C6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Times New Roman" w:hAnsi="Times New Roman" w:cs="Times New Roman"/>
                <w:szCs w:val="22"/>
              </w:rPr>
            </w:pPr>
            <w:r>
              <w:rPr>
                <w:rFonts w:ascii="Times New Roman" w:hAnsi="Times New Roman" w:cs="Times New Roman"/>
                <w:b/>
                <w:bCs/>
                <w:szCs w:val="22"/>
              </w:rPr>
              <w:t>Registrar Staff</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55141D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Times New Roman" w:hAnsi="Times New Roman" w:cs="Times New Roman"/>
                <w:szCs w:val="22"/>
              </w:rPr>
            </w:pPr>
            <w:r>
              <w:rPr>
                <w:rFonts w:ascii="Times New Roman" w:hAnsi="Times New Roman" w:cs="Times New Roman"/>
                <w:szCs w:val="22"/>
              </w:rPr>
              <w:t>Can manage enrollment operations, override queues, waitlists, section caps, policy-based exceptions, and registration troubleshooting across authorized schools or programs.</w:t>
            </w:r>
          </w:p>
        </w:tc>
        <w:tc>
          <w:tcPr>
            <w:tcW w:w="354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957040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Times New Roman" w:hAnsi="Times New Roman" w:cs="Times New Roman"/>
                <w:szCs w:val="22"/>
              </w:rPr>
            </w:pPr>
            <w:r>
              <w:rPr>
                <w:rFonts w:ascii="Times New Roman" w:hAnsi="Times New Roman" w:cs="Times New Roman"/>
                <w:szCs w:val="22"/>
              </w:rPr>
              <w:t>Cannot access records outside assigned operational scope unless specifically authorized.</w:t>
            </w:r>
          </w:p>
        </w:tc>
      </w:tr>
      <w:tr w14:paraId="5EA0CDA7">
        <w:tblPrEx>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6FE125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Times New Roman" w:hAnsi="Times New Roman" w:cs="Times New Roman"/>
                <w:szCs w:val="22"/>
              </w:rPr>
            </w:pPr>
            <w:r>
              <w:rPr>
                <w:rFonts w:ascii="Times New Roman" w:hAnsi="Times New Roman" w:cs="Times New Roman"/>
                <w:b/>
                <w:bCs/>
                <w:szCs w:val="22"/>
              </w:rPr>
              <w:t>Department Chairs</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C12F7B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Times New Roman" w:hAnsi="Times New Roman" w:cs="Times New Roman"/>
                <w:szCs w:val="22"/>
              </w:rPr>
            </w:pPr>
            <w:r>
              <w:rPr>
                <w:rFonts w:ascii="Times New Roman" w:hAnsi="Times New Roman" w:cs="Times New Roman"/>
                <w:szCs w:val="22"/>
              </w:rPr>
              <w:t>Can review demand trends, section needs, faculty load, scheduling constraints, and program-level planning information to approve course offerings and capacity decisions.</w:t>
            </w:r>
          </w:p>
        </w:tc>
        <w:tc>
          <w:tcPr>
            <w:tcW w:w="354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EB4F17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Times New Roman" w:hAnsi="Times New Roman" w:cs="Times New Roman"/>
                <w:szCs w:val="22"/>
              </w:rPr>
            </w:pPr>
            <w:r>
              <w:rPr>
                <w:rFonts w:ascii="Times New Roman" w:hAnsi="Times New Roman" w:cs="Times New Roman"/>
                <w:szCs w:val="22"/>
              </w:rPr>
              <w:t>Access is primarily aggregate, course, section, and program level; no broad access to full individual student records unless required and authorized.</w:t>
            </w:r>
          </w:p>
        </w:tc>
      </w:tr>
      <w:tr w14:paraId="6353355A">
        <w:tblPrEx>
          <w:tblCellMar>
            <w:top w:w="15" w:type="dxa"/>
            <w:left w:w="15" w:type="dxa"/>
            <w:bottom w:w="15" w:type="dxa"/>
            <w:right w:w="15" w:type="dxa"/>
          </w:tblCellMar>
        </w:tblPrEx>
        <w:trPr>
          <w:trHeight w:val="0" w:hRule="atLeast"/>
          <w:tblCellSpacing w:w="15" w:type="dxa"/>
          <w:jc w:val="center"/>
        </w:trPr>
        <w:tc>
          <w:tcPr>
            <w:tcW w:w="1541"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59FE74E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Times New Roman" w:hAnsi="Times New Roman" w:cs="Times New Roman"/>
                <w:szCs w:val="22"/>
              </w:rPr>
            </w:pPr>
            <w:r>
              <w:rPr>
                <w:rFonts w:ascii="Times New Roman" w:hAnsi="Times New Roman" w:cs="Times New Roman"/>
                <w:b/>
                <w:bCs/>
                <w:szCs w:val="22"/>
              </w:rPr>
              <w:t>Administrators</w:t>
            </w:r>
          </w:p>
        </w:tc>
        <w:tc>
          <w:tcPr>
            <w:tcW w:w="3915"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1D8B29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Times New Roman" w:hAnsi="Times New Roman" w:cs="Times New Roman"/>
                <w:szCs w:val="22"/>
              </w:rPr>
            </w:pPr>
            <w:r>
              <w:rPr>
                <w:rFonts w:ascii="Times New Roman" w:hAnsi="Times New Roman" w:cs="Times New Roman"/>
                <w:szCs w:val="22"/>
              </w:rPr>
              <w:t>Can view cross-school reporting, compliance indicators, operational trends, and institutional performance measures to support planning, policy, and resource decisions.</w:t>
            </w:r>
          </w:p>
        </w:tc>
        <w:tc>
          <w:tcPr>
            <w:tcW w:w="3540"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414731E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Times New Roman" w:hAnsi="Times New Roman" w:cs="Times New Roman"/>
                <w:szCs w:val="22"/>
              </w:rPr>
            </w:pPr>
            <w:r>
              <w:rPr>
                <w:rFonts w:ascii="Times New Roman" w:hAnsi="Times New Roman" w:cs="Times New Roman"/>
                <w:szCs w:val="22"/>
              </w:rPr>
              <w:t>Access should emphasize summary and oversight data, with individual student detail available only when required for an authorized administrative purpose.</w:t>
            </w:r>
          </w:p>
        </w:tc>
      </w:tr>
    </w:tbl>
    <w:p w14:paraId="0A3298E3">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szCs w:val="22"/>
        </w:rPr>
      </w:pPr>
      <w:r>
        <w:rPr>
          <w:rFonts w:ascii="Times New Roman" w:hAnsi="Times New Roman" w:cs="Times New Roman"/>
          <w:szCs w:val="22"/>
        </w:rPr>
        <w:t>All access to sensitive records should be logged, traceable, and reviewable so NYU can monitor compliance, investigate issues, and maintain trust in the system.</w:t>
      </w:r>
    </w:p>
    <w:p w14:paraId="521FF21D">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szCs w:val="22"/>
        </w:rPr>
      </w:pPr>
      <w:r>
        <w:rPr>
          <w:rFonts w:ascii="Times New Roman" w:hAnsi="Times New Roman" w:cs="Times New Roman"/>
          <w:szCs w:val="22"/>
        </w:rPr>
        <w:pict>
          <v:rect id="_x0000_i1027" o:spt="1" style="height:1.5pt;width:0pt;" fillcolor="#A0A0A0" filled="t" stroked="f" coordsize="21600,21600" o:hr="t" o:hrstd="t" o:hralign="center">
            <v:path/>
            <v:fill on="t" focussize="0,0"/>
            <v:stroke on="f"/>
            <v:imagedata o:title=""/>
            <o:lock v:ext="edit"/>
            <w10:wrap type="none"/>
            <w10:anchorlock/>
          </v:rect>
        </w:pict>
      </w:r>
    </w:p>
    <w:p w14:paraId="269F90E5">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bCs/>
          <w:szCs w:val="22"/>
        </w:rPr>
      </w:pPr>
      <w:r>
        <w:rPr>
          <w:rFonts w:hint="default" w:ascii="Times New Roman" w:hAnsi="Times New Roman" w:cs="Times New Roman"/>
          <w:b/>
          <w:bCs/>
          <w:szCs w:val="22"/>
        </w:rPr>
        <w:t>3. Functional Requirements by Capability Area</w:t>
      </w:r>
    </w:p>
    <w:p w14:paraId="7644652C">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This section defines the core functional requirements for the proposed New Albert platform. These requirements respond to the workflow issues identified in earlier sessions, including fragmented information, manual exception handling, limited visibility into student progress, and disconnected support processes.</w:t>
      </w:r>
    </w:p>
    <w:p w14:paraId="624088A0">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bCs/>
          <w:szCs w:val="22"/>
        </w:rPr>
      </w:pPr>
    </w:p>
    <w:p w14:paraId="35631E9B">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bCs/>
          <w:szCs w:val="22"/>
        </w:rPr>
      </w:pPr>
      <w:r>
        <w:rPr>
          <w:rFonts w:hint="default" w:ascii="Times New Roman" w:hAnsi="Times New Roman" w:cs="Times New Roman"/>
          <w:b/>
          <w:bCs/>
          <w:szCs w:val="22"/>
        </w:rPr>
        <w:t>3.1 Course Registration &amp; Enrollment Management</w:t>
      </w:r>
    </w:p>
    <w:p w14:paraId="56DACF2F">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3.1.1 The proposed system shall identify the primary registration blocker when a student cannot complete a course request, including holds, prerequisites, schedule conflicts, permission requirements, overload restrictions, or section-capacity limits.</w:t>
      </w:r>
    </w:p>
    <w:p w14:paraId="4043B6C9">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3.1.2 The proposed system shall provide advisors and registrar staff with a single registration case view that includes course availability, degree progress context, holds, override status, and the next required action.</w:t>
      </w:r>
    </w:p>
    <w:p w14:paraId="1710D5D9">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3.1.3 The proposed system shall route override and exception requests to the correct department, faculty member, or registrar workflow and maintain visible request status for authorized users.</w:t>
      </w:r>
    </w:p>
    <w:p w14:paraId="38DDF1E6">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p>
    <w:p w14:paraId="2E8E2ED0">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bCs/>
          <w:szCs w:val="22"/>
        </w:rPr>
      </w:pPr>
      <w:r>
        <w:rPr>
          <w:rFonts w:hint="default" w:ascii="Times New Roman" w:hAnsi="Times New Roman" w:cs="Times New Roman"/>
          <w:b/>
          <w:bCs/>
          <w:szCs w:val="22"/>
        </w:rPr>
        <w:t>3.2 Academic Planning &amp; Degree Audit</w:t>
      </w:r>
    </w:p>
    <w:p w14:paraId="3FA8CFB9">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3.2.1 The proposed system shall present students and advisors with a clear view of completed requirements, in-progress coursework, remaining degree requirements, and outstanding academic milestones.</w:t>
      </w:r>
    </w:p>
    <w:p w14:paraId="1EE91094">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3.2.2 The proposed system shall show whether a selected course fulfills degree progress, elective credit, prerequisite completion, or no applicable requirement before enrollment is finalized.</w:t>
      </w:r>
    </w:p>
    <w:p w14:paraId="695C5799">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3.2.3 The proposed system shall identify students whose current course choices place them at risk of delayed graduation, missed milestones, or under-loaded academic progress.</w:t>
      </w:r>
    </w:p>
    <w:p w14:paraId="5FE3742B">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p>
    <w:p w14:paraId="60283655">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bCs/>
          <w:szCs w:val="22"/>
        </w:rPr>
      </w:pPr>
      <w:r>
        <w:rPr>
          <w:rFonts w:hint="default" w:ascii="Times New Roman" w:hAnsi="Times New Roman" w:cs="Times New Roman"/>
          <w:b/>
          <w:bCs/>
          <w:szCs w:val="22"/>
        </w:rPr>
        <w:t>3.3 Analytics &amp; Reporting</w:t>
      </w:r>
    </w:p>
    <w:p w14:paraId="6870B761">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3.3.1 The proposed system shall provide role-based dashboards that display key operational indicators, including registration readiness, unmet demand, student academic risk, grading workload, and compliance deadlines.</w:t>
      </w:r>
    </w:p>
    <w:p w14:paraId="0563E5BE">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3.3.2 The proposed system shall flag sections with unmet demand, waitlist growth, or graduation-critical enrollment pressure that may require intervention by registrar staff or department leadership.</w:t>
      </w:r>
    </w:p>
    <w:p w14:paraId="63E64F4E">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3.3.3 The proposed system shall provide advisors, faculty, and academic leaders with visibility into student-risk indicators and workload measures relevant to their responsibilities.</w:t>
      </w:r>
    </w:p>
    <w:p w14:paraId="3A2E44A8">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p>
    <w:p w14:paraId="23C36997">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bCs/>
          <w:szCs w:val="22"/>
        </w:rPr>
      </w:pPr>
      <w:r>
        <w:rPr>
          <w:rFonts w:hint="default" w:ascii="Times New Roman" w:hAnsi="Times New Roman" w:cs="Times New Roman"/>
          <w:b/>
          <w:bCs/>
          <w:szCs w:val="22"/>
        </w:rPr>
        <w:t>3.4 AI-Powered Communication &amp; Support</w:t>
      </w:r>
    </w:p>
    <w:p w14:paraId="2C3460F0">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3.4.1 The proposed system shall classify incoming registration-related or support-related requests by likely issue type and urgency before manual review, while preserving staff oversight of final action.</w:t>
      </w:r>
    </w:p>
    <w:p w14:paraId="2D24B543">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3.4.2 The proposed system shall generate plain-language explanations of common registration blockers, holds, and next-step guidance for students and staff.</w:t>
      </w:r>
    </w:p>
    <w:p w14:paraId="1418E81D">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3.4.3 The proposed system shall summarize relevant case history and outstanding issues for authorized users when a student support case is opened or reviewed.</w:t>
      </w:r>
    </w:p>
    <w:p w14:paraId="7125C4E8">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p>
    <w:p w14:paraId="2876CFC8">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bCs/>
          <w:szCs w:val="22"/>
        </w:rPr>
      </w:pPr>
      <w:r>
        <w:rPr>
          <w:rFonts w:hint="default" w:ascii="Times New Roman" w:hAnsi="Times New Roman" w:cs="Times New Roman"/>
          <w:b/>
          <w:bCs/>
          <w:szCs w:val="22"/>
        </w:rPr>
        <w:t>3.5 System Integrations &amp; Compliance</w:t>
      </w:r>
    </w:p>
    <w:p w14:paraId="41A7CC04">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3.5.1 The proposed system shall integrate with NYU Identity &amp; Access Management so that authentication and role-based permissions remain consistent with institutional standards.</w:t>
      </w:r>
    </w:p>
    <w:p w14:paraId="7E556D2A">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3.5.2 The proposed system shall integrate with the Bursar system, Financial Aid, and Brightspace LMS so that enrollment, financial, and academic information can be viewed in context.</w:t>
      </w:r>
    </w:p>
    <w:p w14:paraId="17E48B3C">
      <w:pPr>
        <w:keepLines w:val="0"/>
        <w:pageBreakBefore w:val="0"/>
        <w:widowControl w:val="0"/>
        <w:kinsoku/>
        <w:wordWrap/>
        <w:overflowPunct/>
        <w:topLinePunct w:val="0"/>
        <w:autoSpaceDE/>
        <w:autoSpaceDN/>
        <w:bidi w:val="0"/>
        <w:adjustRightInd/>
        <w:spacing w:line="240" w:lineRule="auto"/>
        <w:textAlignment w:val="auto"/>
        <w:rPr>
          <w:rFonts w:hint="default" w:ascii="Times New Roman" w:hAnsi="Times New Roman" w:cs="Times New Roman"/>
          <w:b w:val="0"/>
          <w:bCs w:val="0"/>
          <w:szCs w:val="22"/>
        </w:rPr>
      </w:pPr>
      <w:r>
        <w:rPr>
          <w:rFonts w:hint="default" w:ascii="Times New Roman" w:hAnsi="Times New Roman" w:cs="Times New Roman"/>
          <w:b w:val="0"/>
          <w:bCs w:val="0"/>
          <w:szCs w:val="22"/>
        </w:rPr>
        <w:t>3.5.3 The proposed system shall integrate with Help Desk ticketing so that support requests, case routing, and issue resolution can be tracked within one coordinated workflow.</w:t>
      </w:r>
    </w:p>
    <w:p w14:paraId="47AFFEDA">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szCs w:val="22"/>
        </w:rPr>
      </w:pPr>
      <w:r>
        <w:rPr>
          <w:rFonts w:ascii="Times New Roman" w:hAnsi="Times New Roman" w:cs="Times New Roman"/>
          <w:szCs w:val="22"/>
        </w:rPr>
        <w:pict>
          <v:rect id="_x0000_i1028" o:spt="1" style="height:1.5pt;width:0pt;" fillcolor="#A0A0A0" filled="t" stroked="f" coordsize="21600,21600" o:hr="t" o:hrstd="t" o:hralign="center">
            <v:path/>
            <v:fill on="t" focussize="0,0"/>
            <v:stroke on="f"/>
            <v:imagedata o:title=""/>
            <o:lock v:ext="edit"/>
            <w10:wrap type="none"/>
            <w10:anchorlock/>
          </v:rect>
        </w:pict>
      </w:r>
    </w:p>
    <w:p w14:paraId="45D0DCCB">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b/>
          <w:bCs/>
          <w:szCs w:val="22"/>
        </w:rPr>
      </w:pPr>
      <w:r>
        <w:rPr>
          <w:rFonts w:ascii="Times New Roman" w:hAnsi="Times New Roman" w:cs="Times New Roman"/>
          <w:b/>
          <w:bCs/>
          <w:szCs w:val="22"/>
        </w:rPr>
        <w:t>4. Scope &amp; Phasing</w:t>
      </w:r>
    </w:p>
    <w:p w14:paraId="78B32B4A">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b w:val="0"/>
          <w:bCs w:val="0"/>
          <w:szCs w:val="22"/>
        </w:rPr>
      </w:pPr>
      <w:r>
        <w:rPr>
          <w:rFonts w:ascii="Times New Roman" w:hAnsi="Times New Roman" w:cs="Times New Roman"/>
          <w:b w:val="0"/>
          <w:bCs w:val="0"/>
          <w:szCs w:val="22"/>
        </w:rPr>
        <w:t>For Phase 1, The Digital Forge proposes a minimum viable release that delivers a complete and usable first launch for NYU. Phase 1 will include course search and enrollment validation, identification of registration blockers, degree audit visibility, holds and milestone tracking, waitlist and section-capacity monitoring, override routing, approval workflows, request tracking, AI-assisted intake and issue triage, core student risk indicators, grade submission visibility, compliance monitoring, outstanding grading queue visibility, and upcoming deadline visibility. These capabilities represent the highest-value day-one needs identified across the team’s workflow and analytics work for students, advisors, registrar staff, department planners, and faculty.</w:t>
      </w:r>
    </w:p>
    <w:p w14:paraId="0C90A408">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b w:val="0"/>
          <w:bCs w:val="0"/>
          <w:szCs w:val="22"/>
        </w:rPr>
      </w:pPr>
      <w:r>
        <w:rPr>
          <w:rFonts w:ascii="Times New Roman" w:hAnsi="Times New Roman" w:cs="Times New Roman"/>
          <w:b w:val="0"/>
          <w:bCs w:val="0"/>
          <w:szCs w:val="22"/>
        </w:rPr>
        <w:t>Phase 2 will extend the platform with predictive enrollment alerts, predictive graduation-risk detection, advanced demand forecasting, automated section planning support, under-loaded credit analysis, grading timeliness and on-time submission analytics, richer LMS activity signals, automated summaries, and broader cross-system decision support. These items are intentionally deferred because they increase the value of the platform but are not required for core workflows to function on day one. The result is a phased approach in which NYU receives an operationally coherent platform immediately, followed by a second wave of forecasting, optimization, and additional automation once the foundation is in place.</w:t>
      </w:r>
    </w:p>
    <w:p w14:paraId="23F17AFC">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szCs w:val="22"/>
        </w:rPr>
      </w:pPr>
      <w:r>
        <w:rPr>
          <w:rFonts w:ascii="Times New Roman" w:hAnsi="Times New Roman" w:cs="Times New Roman"/>
          <w:szCs w:val="22"/>
        </w:rPr>
        <w:pict>
          <v:rect id="_x0000_i1029" o:spt="1" style="height:1.5pt;width:0pt;" fillcolor="#A0A0A0" filled="t" stroked="f" coordsize="21600,21600" o:hr="t" o:hrstd="t" o:hralign="center">
            <v:path/>
            <v:fill on="t" focussize="0,0"/>
            <v:stroke on="f"/>
            <v:imagedata o:title=""/>
            <o:lock v:ext="edit"/>
            <w10:wrap type="none"/>
            <w10:anchorlock/>
          </v:rect>
        </w:pict>
      </w:r>
    </w:p>
    <w:p w14:paraId="0207D23E">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b/>
          <w:bCs/>
          <w:szCs w:val="22"/>
        </w:rPr>
      </w:pPr>
      <w:r>
        <w:rPr>
          <w:rFonts w:ascii="Times New Roman" w:hAnsi="Times New Roman" w:cs="Times New Roman"/>
          <w:b/>
          <w:bCs/>
          <w:szCs w:val="22"/>
        </w:rPr>
        <w:t>5. Constraints &amp; Compliance</w:t>
      </w:r>
    </w:p>
    <w:p w14:paraId="01194CF3">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b w:val="0"/>
          <w:bCs w:val="0"/>
          <w:szCs w:val="22"/>
        </w:rPr>
      </w:pPr>
      <w:r>
        <w:rPr>
          <w:rFonts w:ascii="Times New Roman" w:hAnsi="Times New Roman" w:cs="Times New Roman"/>
          <w:b w:val="0"/>
          <w:bCs w:val="0"/>
          <w:szCs w:val="22"/>
        </w:rPr>
        <w:t>The redesigned Albert system shall comply with the Family Educational Rights and Privacy Act (FERPA), 34 CFR Part 99, by restricting access to student education records to authorized users based on role and legitimate educational interest, maintaining auditability of record access and changes, and preventing unauthorized disclosure of personally identifiable student information in user interfaces, reports, exports, alerts, and integrated workflows. Any AI-assisted classification or summarization of registration-related communications shall operate within the same FERPA controls and institutional data-handling rules, and its outputs shall remain visible only to authorized users with staff review of final action. The student-facing interface shall conform to ADA and Section 508 accessibility requirements, including support for keyboard navigation, screen readers, sufficient color contrast, meaningful labels and headings, and accessible form, alert, and status messaging across core registration and academic management tasks.</w:t>
      </w:r>
    </w:p>
    <w:p w14:paraId="42A9B124">
      <w:pPr>
        <w:keepLines w:val="0"/>
        <w:pageBreakBefore w:val="0"/>
        <w:widowControl w:val="0"/>
        <w:kinsoku/>
        <w:wordWrap/>
        <w:overflowPunct/>
        <w:topLinePunct w:val="0"/>
        <w:autoSpaceDE/>
        <w:autoSpaceDN/>
        <w:bidi w:val="0"/>
        <w:adjustRightInd/>
        <w:spacing w:line="240" w:lineRule="auto"/>
        <w:textAlignment w:val="auto"/>
        <w:rPr>
          <w:rFonts w:ascii="Times New Roman" w:hAnsi="Times New Roman" w:cs="Times New Roman"/>
          <w:b w:val="0"/>
          <w:bCs w:val="0"/>
          <w:szCs w:val="22"/>
        </w:rPr>
      </w:pPr>
      <w:r>
        <w:rPr>
          <w:rFonts w:ascii="Times New Roman" w:hAnsi="Times New Roman" w:cs="Times New Roman"/>
          <w:b w:val="0"/>
          <w:bCs w:val="0"/>
          <w:szCs w:val="22"/>
        </w:rPr>
        <w:t>The system shall integrate with NYU Identity &amp; Access Management for authentication and role-based access control, the Bursar system for tuition and financial holds, Financial Aid for aid-related enrollment dependencies, Brightspace LMS for course and grading-related workflows, and Help Desk ticketing for support intake, routing, and case resolution. These integrations are required to ensure that registration, advising, compliance, and support functions operate as a single coordinated service rather than fragmented manual processes. The solution shall maintain 99.9% uptime and support peak registration and grading activity without material degradation. Core dashboards and student-facing pages shall load in under 2 seconds where feasible, with no critical workflow screen exceeding 3 to 5 seconds under expected peak load. Operational data, including blockers, waitlists, override queues, and grading queues, shall refresh within 30 seconds, and triggered alerts shall be delivered within 5 minutes.</w:t>
      </w:r>
    </w:p>
    <w:p w14:paraId="0402B711">
      <w:pPr>
        <w:keepLines w:val="0"/>
        <w:pageBreakBefore w:val="0"/>
        <w:widowControl w:val="0"/>
        <w:kinsoku/>
        <w:wordWrap/>
        <w:overflowPunct/>
        <w:topLinePunct w:val="0"/>
        <w:autoSpaceDE/>
        <w:autoSpaceDN/>
        <w:bidi w:val="0"/>
        <w:adjustRightInd/>
        <w:spacing w:line="240" w:lineRule="auto"/>
        <w:textAlignment w:val="auto"/>
        <w:rPr>
          <w:b w:val="0"/>
          <w:bCs w:val="0"/>
        </w:rPr>
      </w:pPr>
    </w:p>
    <w:bookmarkEnd w:id="0"/>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416"/>
    <w:rsid w:val="000B4141"/>
    <w:rsid w:val="00955D93"/>
    <w:rsid w:val="009C1416"/>
    <w:rsid w:val="0BE65604"/>
    <w:rsid w:val="137401AC"/>
    <w:rsid w:val="229163F6"/>
    <w:rsid w:val="503C110B"/>
    <w:rsid w:val="7FFC14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qFormat/>
    <w:uiPriority w:val="9"/>
    <w:rPr>
      <w:rFonts w:cstheme="majorBidi"/>
      <w:color w:val="2F5597" w:themeColor="accent1" w:themeShade="BF"/>
      <w:sz w:val="24"/>
    </w:rPr>
  </w:style>
  <w:style w:type="character" w:customStyle="1" w:styleId="20">
    <w:name w:val="标题 6 字符"/>
    <w:basedOn w:val="14"/>
    <w:link w:val="7"/>
    <w:semiHidden/>
    <w:qFormat/>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1504</Words>
  <Characters>9683</Characters>
  <Lines>67</Lines>
  <Paragraphs>18</Paragraphs>
  <TotalTime>23</TotalTime>
  <ScaleCrop>false</ScaleCrop>
  <LinksUpToDate>false</LinksUpToDate>
  <CharactersWithSpaces>11129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2026-03-10T18:10:00Z</dcterms:created>
  <dc:creator>明宇 贺</dc:creator>
  <cp:lastModifiedBy>风尘仆仆</cp:lastModifiedBy>
  <dcterms:modified xsi:type="dcterms:W3CDTF">2026-03-11T00:46:55Z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eyJoZGlkIjoiYmRhODFiNWExZjkwNzVlYzE0NWI1YmMwYTA1MDE1YzYiLCJ1c2VySWQiOiI2MDI2MTcyODMifQ==</vt:lpwstr>
  </property>
  <property fmtid="{D5CDD505-2E9C-101B-9397-08002B2CF9AE}" pid="3" name="KSOProductBuildVer">
    <vt:lpwstr>2052-12.1.0.25225</vt:lpwstr>
  </property>
  <property fmtid="{D5CDD505-2E9C-101B-9397-08002B2CF9AE}" pid="4" name="ICV">
    <vt:lpwstr>F614D01D51C940E797399EC3411F49F9_12</vt:lpwstr>
  </property>
</Properties>
</file>