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Sister</w:t>
      </w:r>
      <w:r>
        <w:t xml:space="preserve"> </w:t>
      </w:r>
      <w:r>
        <w:t xml:space="preserve">Parties</w:t>
      </w:r>
    </w:p>
    <w:p>
      <w:pPr>
        <w:pStyle w:val="Author"/>
      </w:pPr>
      <w:r>
        <w:t xml:space="preserve">Matthias</w:t>
      </w:r>
      <w:r>
        <w:t xml:space="preserve"> </w:t>
      </w:r>
      <w:r>
        <w:t xml:space="preserve">Haber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aper-graphs"/>
      <w:bookmarkEnd w:id="21"/>
      <w:r>
        <w:t xml:space="preserve">Paper Graphs</w:t>
      </w:r>
    </w:p>
    <w:p>
      <w:pPr>
        <w:pStyle w:val="Heading1"/>
      </w:pPr>
      <w:bookmarkStart w:id="22" w:name="factional-discipline-cdu-csu-german-bundestag-2005---2011"/>
      <w:bookmarkEnd w:id="22"/>
      <w:r>
        <w:t xml:space="preserve">Factional Discipline CDU-CSU German Bundestag 2005 - 2011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_files/figure-docx/factional%20disci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ositions-of-cdu-black-and-csu-grey-parties-and-leaders-1990---2011"/>
      <w:bookmarkEnd w:id="24"/>
      <w:r>
        <w:t xml:space="preserve">Positions of CDU (black) and CSU (grey) Parties and Leaders 1990 - 2011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_files/figure-docx/party%20congres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ean-positions-of-cdu-and-csu-leaders-1990-2011-bw"/>
      <w:bookmarkEnd w:id="26"/>
      <w:r>
        <w:t xml:space="preserve">Mean Positions of CDU and CSU Leaders 1990-2011 BW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_files/figure-docx/party%20lead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effect-of-vote-share-on-distance"/>
      <w:bookmarkEnd w:id="28"/>
      <w:r>
        <w:t xml:space="preserve">Effect of Vote share on Distance</w:t>
      </w:r>
    </w:p>
    <w:p>
      <w:r>
        <w:drawing>
          <wp:inline>
            <wp:extent cx="544068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_files/figure-docx/vote%20dis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e63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Sister Parties</dc:title>
  <dc:creator>Matthias Haber</dc:creator>
</cp:coreProperties>
</file>