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E293B"/>
          <w:sz w:val="56"/>
          <w:szCs w:val="56"/>
        </w:rPr>
        <w:t xml:space="preserve">PrivateDesk MemoryAgent</w:t>
      </w:r>
    </w:p>
    <w:p>
      <w:pPr>
        <w:spacing w:after="60"/>
        <w:jc w:val="center"/>
      </w:pPr>
      <w:r>
        <w:rPr>
          <w:color w:val="4338CA"/>
          <w:sz w:val="32"/>
          <w:szCs w:val="32"/>
        </w:rPr>
        <w:t xml:space="preserve">Architecture &amp; Design Document</w:t>
      </w:r>
    </w:p>
    <w:p>
      <w:pPr>
        <w:spacing w:after="40"/>
        <w:jc w:val="center"/>
      </w:pPr>
      <w:r>
        <w:rPr>
          <w:i/>
          <w:iCs/>
          <w:color w:val="64748B"/>
          <w:sz w:val="22"/>
          <w:szCs w:val="22"/>
        </w:rPr>
        <w:t xml:space="preserve">Per-principal private memory · provable isolation · one codebase, two deployments</w:t>
      </w:r>
    </w:p>
    <w:p>
      <w:pPr>
        <w:spacing w:before="1400"/>
        <w:jc w:val="center"/>
      </w:pPr>
      <w:r>
        <w:rPr>
          <w:color w:val="1E293B"/>
          <w:sz w:val="22"/>
          <w:szCs w:val="22"/>
        </w:rPr>
        <w:t xml:space="preserve">Qwen Cloud Global AI Hackathon — Track 1 (MemoryAgent)</w:t>
      </w:r>
    </w:p>
    <w:p>
      <w:pPr>
        <w:jc w:val="center"/>
      </w:pPr>
      <w:r>
        <w:rPr>
          <w:color w:val="64748B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40" w:line="276"/>
      </w:pPr>
      <w:r>
        <w:rPr>
          <w:sz w:val="22"/>
          <w:szCs w:val="22"/>
        </w:rPr>
        <w:t xml:space="preserve">PrivateDesk MemoryAgent is a </w:t>
      </w:r>
      <w:r>
        <w:rPr>
          <w:b/>
          <w:bCs/>
          <w:sz w:val="22"/>
          <w:szCs w:val="22"/>
        </w:rPr>
        <w:t xml:space="preserve">private memory layer for AI agents</w:t>
      </w:r>
      <w:r>
        <w:rPr>
          <w:sz w:val="22"/>
          <w:szCs w:val="22"/>
        </w:rPr>
        <w:t xml:space="preserve">. Each </w:t>
      </w:r>
      <w:r>
        <w:rPr>
          <w:b/>
          <w:bCs/>
          <w:sz w:val="22"/>
          <w:szCs w:val="22"/>
        </w:rPr>
        <w:t xml:space="preserve">principal</w:t>
      </w:r>
      <w:r>
        <w:rPr>
          <w:sz w:val="22"/>
          <w:szCs w:val="22"/>
        </w:rPr>
        <w:t xml:space="preserve"> — an end-user of an application, a tenant, an autonomous agent, or, in the reference build shown here, a member of a household — is given private, isolated, persistent memory. A fact a principal shares accumulates across sessions and is recalled later without being repeated; one principal’s memory is never reachable by another principal’s agent; outdated facts are forgotten; and even when the memory store grows large, only a small, relevant slice enters the model’s context. A human-in-the-loop step gates any action the agent proposes.</w:t>
      </w:r>
    </w:p>
    <w:p>
      <w:pPr>
        <w:spacing w:after="140" w:line="276"/>
      </w:pPr>
      <w:r>
        <w:rPr>
          <w:sz w:val="22"/>
          <w:szCs w:val="22"/>
        </w:rPr>
        <w:t xml:space="preserve">The household assistant is the use case demonstrated in this document and submitted for Track 1, but it is </w:t>
      </w:r>
      <w:r>
        <w:rPr>
          <w:i/>
          <w:iCs/>
          <w:sz w:val="22"/>
          <w:szCs w:val="22"/>
        </w:rPr>
        <w:t xml:space="preserve">one instantiation, not the system</w:t>
      </w:r>
      <w:r>
        <w:rPr>
          <w:sz w:val="22"/>
          <w:szCs w:val="22"/>
        </w:rPr>
        <w:t xml:space="preserve">. The architecture is domain-agnostic: the same engine serves any application that needs per-user private memory. Throughout this document the isolation unit is called a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principal</w:t>
      </w:r>
      <w:r>
        <w:rPr>
          <w:sz w:val="22"/>
          <w:szCs w:val="22"/>
        </w:rPr>
        <w:t xml:space="preserve"> and the grouping boundary a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tenant</w:t>
      </w:r>
      <w:r>
        <w:rPr>
          <w:sz w:val="22"/>
          <w:szCs w:val="22"/>
        </w:rPr>
        <w:t xml:space="preserve">; in the household build a tenant is a household and a principal is a household member.</w:t>
      </w:r>
    </w:p>
    <w:p>
      <w:pPr>
        <w:spacing w:after="140" w:line="276"/>
      </w:pPr>
      <w:r>
        <w:rPr>
          <w:sz w:val="22"/>
          <w:szCs w:val="22"/>
        </w:rPr>
        <w:t xml:space="preserve">The design rests on one conviction that also drives the product thesis: </w:t>
      </w:r>
      <w:r>
        <w:rPr>
          <w:b/>
          <w:bCs/>
          <w:i/>
          <w:iCs/>
          <w:sz w:val="22"/>
          <w:szCs w:val="22"/>
        </w:rPr>
        <w:t xml:space="preserve">privacy is not about where the bytes live — it is isolation, open weights, and never training on user data</w:t>
      </w:r>
      <w:r>
        <w:rPr>
          <w:sz w:val="22"/>
          <w:szCs w:val="22"/>
        </w:rPr>
        <w:t xml:space="preserve">. To make that concrete, the identical codebase runs two ways, selected by one environment variable. With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DASHSCOPE_API_KEY</w:t>
      </w:r>
      <w:r>
        <w:rPr>
          <w:sz w:val="22"/>
          <w:szCs w:val="22"/>
        </w:rPr>
        <w:t xml:space="preserve"> set, every model call routes to Qwen Cloud (DashScope); with it empty, the stack falls back to local, open-weight Qwen3 served by Ollama. Nothing else in the code branches on the choice.</w:t>
      </w:r>
    </w:p>
    <w:p>
      <w:pPr>
        <w:pStyle w:val="Heading2"/>
      </w:pPr>
      <w:r>
        <w:t xml:space="preserve">1.1 The four behaviors this design targets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Accumulation — </w:t>
      </w:r>
      <w:r>
        <w:rPr>
          <w:sz w:val="22"/>
          <w:szCs w:val="22"/>
        </w:rPr>
        <w:t xml:space="preserve">durable memories captured from conversation and recalled, unprompted, in later sessions.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Isolation — </w:t>
      </w:r>
      <w:r>
        <w:rPr>
          <w:sz w:val="22"/>
          <w:szCs w:val="22"/>
        </w:rPr>
        <w:t xml:space="preserve">each principal is a separate memory unit; cross-principal reads are impossible by construction and audited when attempted.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Forgetting — </w:t>
      </w:r>
      <w:r>
        <w:rPr>
          <w:sz w:val="22"/>
          <w:szCs w:val="22"/>
        </w:rPr>
        <w:t xml:space="preserve">supersession, expiry, and salience decay keep the active memory set current.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Bounded recall — </w:t>
      </w:r>
      <w:r>
        <w:rPr>
          <w:sz w:val="22"/>
          <w:szCs w:val="22"/>
        </w:rPr>
        <w:t xml:space="preserve">retrieval returns a fixed top-k under a token budget, regardless of how many memories are stored.</w:t>
      </w:r>
    </w:p>
    <w:p>
      <w:pPr>
        <w:pStyle w:val="Heading2"/>
      </w:pPr>
      <w:r>
        <w:t xml:space="preserve">1.2 Use cases — the household is one of several</w:t>
      </w:r>
    </w:p>
    <w:p>
      <w:pPr>
        <w:spacing w:after="140" w:line="276"/>
      </w:pPr>
      <w:r>
        <w:rPr>
          <w:sz w:val="22"/>
          <w:szCs w:val="22"/>
        </w:rPr>
        <w:t xml:space="preserve">Because the contract is simply ‘give principal X private, isolated, forgetting-capable memory,’ the same system applies anywhere that contract is needed: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Household / family assistant </w:t>
      </w:r>
      <w:r>
        <w:rPr>
          <w:sz w:val="22"/>
          <w:szCs w:val="22"/>
        </w:rPr>
        <w:t xml:space="preserve">(the reference build and Track 1 demo) — each family member is a principal with a distinct persona.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Multi-tenant SaaS copilots </w:t>
      </w:r>
      <w:r>
        <w:rPr>
          <w:sz w:val="22"/>
          <w:szCs w:val="22"/>
        </w:rPr>
        <w:t xml:space="preserve">— each end-user, or each customer organization, is a principal whose memory must never surface in another tenant’s session.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Regulated enterprise assistants </w:t>
      </w:r>
      <w:r>
        <w:rPr>
          <w:sz w:val="22"/>
          <w:szCs w:val="22"/>
        </w:rPr>
        <w:t xml:space="preserve">— each employee or client is a principal, and the isolation must be auditable for a security or compliance review.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Multi-agent systems </w:t>
      </w:r>
      <w:r>
        <w:rPr>
          <w:sz w:val="22"/>
          <w:szCs w:val="22"/>
        </w:rPr>
        <w:t xml:space="preserve">— each agent is a principal with its own scoped, persistent memory, preventing context bleed between agents.</w:t>
      </w:r>
    </w:p>
    <w:p>
      <w:pPr>
        <w:spacing w:after="140" w:line="276"/>
      </w:pPr>
      <w:r>
        <w:rPr>
          <w:sz w:val="22"/>
          <w:szCs w:val="22"/>
        </w:rPr>
        <w:t xml:space="preserve">Everything that follows is described generically. Where the running reference build uses concrete names (the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households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members</w:t>
      </w:r>
      <w:r>
        <w:rPr>
          <w:sz w:val="22"/>
          <w:szCs w:val="22"/>
        </w:rPr>
        <w:t xml:space="preserve"> tables), that is noted so the document stays faithful to the code.</w:t>
      </w:r>
    </w:p>
    <w:p>
      <w:pPr>
        <w:pStyle w:val="Heading1"/>
      </w:pPr>
      <w:r>
        <w:t xml:space="preserve">2. Architecture at a glance</w:t>
      </w:r>
    </w:p>
    <w:p>
      <w:pPr>
        <w:spacing w:after="140" w:line="276"/>
      </w:pPr>
      <w:r>
        <w:rPr>
          <w:sz w:val="22"/>
          <w:szCs w:val="22"/>
        </w:rPr>
        <w:t xml:space="preserve">The system is a small set of cooperating services wired by Docker Compose. A Next.js frontend talks to a FastAPI backend over HTTP and Server-Sent Events. The backend hosts the memory engine and the isolation chokepoint, reaches models through a single LiteLLM seam, and persists state across Qdrant (vectors), PostgreSQL (identity, memories, audit), and Redis (sessions).</w:t>
      </w:r>
    </w:p>
    <w:p>
      <w:pPr>
        <w:spacing w:after="40" w:before="120"/>
        <w:jc w:val="center"/>
      </w:pPr>
      <w:r>
        <w:drawing>
          <wp:inline distT="0" distB="0" distL="0" distR="0">
            <wp:extent cx="5943600" cy="4095750"/>
            <wp:effectExtent t="0" r="0" b="0" l="0"/>
            <wp:docPr id="1" name="Figure 1 — Component architecture. The amber band is the isolation chokepoint; the dark pill is the cloud/local deployment switch." descr="Figure 1 — Component architecture. The amber band is the isolation chokepoint; the dark pill is the cloud/local deployment switch." title="Figure 1 — Component architecture. The amber band is the isolation chokepoint; the dark pill is the cloud/local deployment swi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Figure 1 — Component architecture. The amber band is the isolation chokepoint; the dark pill is the cloud/local deployment switch.</w:t>
      </w:r>
    </w:p>
    <w:p>
      <w:pPr>
        <w:spacing w:after="140" w:line="276"/>
      </w:pPr>
      <w:r>
        <w:rPr>
          <w:sz w:val="22"/>
          <w:szCs w:val="22"/>
        </w:rPr>
        <w:t xml:space="preserve">The remainder of this document walks each layer top to bottom, then traces the end-to-end flows that cross them.</w:t>
      </w:r>
    </w:p>
    <w:p>
      <w:r>
        <w:br w:type="page"/>
      </w:r>
    </w:p>
    <w:p>
      <w:pPr>
        <w:pStyle w:val="Heading1"/>
      </w:pPr>
      <w:r>
        <w:t xml:space="preserve">3. Layers, one by one</w:t>
      </w:r>
    </w:p>
    <w:p>
      <w:pPr>
        <w:pStyle w:val="Heading2"/>
      </w:pPr>
      <w:r>
        <w:t xml:space="preserve">3.1 Frontend layer — Next.js</w:t>
      </w:r>
    </w:p>
    <w:p>
      <w:pPr>
        <w:spacing w:after="140" w:line="276"/>
      </w:pPr>
      <w:r>
        <w:rPr>
          <w:sz w:val="22"/>
          <w:szCs w:val="22"/>
        </w:rPr>
        <w:t xml:space="preserve">The frontend is intentionally thin: it renders conversation and makes the system’s internals visible. It has two surfaces.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Chat UI — </w:t>
      </w:r>
      <w:r>
        <w:rPr>
          <w:sz w:val="22"/>
          <w:szCs w:val="22"/>
        </w:rPr>
        <w:t xml:space="preserve">a switcher between principals, the streaming conversation, and an approval card that appears when the agent proposes an action.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Inspector panel — </w:t>
      </w:r>
      <w:r>
        <w:rPr>
          <w:sz w:val="22"/>
          <w:szCs w:val="22"/>
        </w:rPr>
        <w:t xml:space="preserve">the demonstrative heart of the UI. It shows a principal’s memory store with status and salience badges, the live recall trace (query → candidates → selected → token count), the audit log including isolation blocks, and a side-by-side view that makes the separation between two principals’ stores tangible.</w:t>
      </w:r>
    </w:p>
    <w:p>
      <w:pPr>
        <w:spacing w:after="140" w:line="276"/>
      </w:pPr>
      <w:r>
        <w:rPr>
          <w:sz w:val="22"/>
          <w:szCs w:val="22"/>
        </w:rPr>
        <w:t xml:space="preserve">Communication uses SSE so the chat streams token-by-token, and so the backend can push structured events — the recall trace first, then tokens, then any proposed action — onto the same channel.</w:t>
      </w:r>
    </w:p>
    <w:p>
      <w:pPr>
        <w:pStyle w:val="Heading2"/>
      </w:pPr>
      <w:r>
        <w:t xml:space="preserve">3.2 API / orchestration layer — FastAPI</w:t>
      </w:r>
    </w:p>
    <w:p>
      <w:pPr>
        <w:spacing w:after="140" w:line="276"/>
      </w:pPr>
      <w:r>
        <w:rPr>
          <w:sz w:val="22"/>
          <w:szCs w:val="22"/>
        </w:rPr>
        <w:t xml:space="preserve">The FastAPI backend is async throughout and owns four responsibilities: session handling, chat orchestration, the memory engine, and the human-in-the-loop gate. Routers are deliberately small; the logic lives in the engine.</w:t>
      </w:r>
    </w:p>
    <w:p>
      <w:pPr>
        <w:spacing w:after="140" w:line="276"/>
      </w:pPr>
      <w:r>
        <w:rPr>
          <w:sz w:val="22"/>
          <w:szCs w:val="22"/>
        </w:rPr>
        <w:t xml:space="preserve">The chat router performs the core loop for every turn: persist the user message, </w:t>
      </w:r>
      <w:r>
        <w:rPr>
          <w:b/>
          <w:bCs/>
          <w:sz w:val="22"/>
          <w:szCs w:val="22"/>
        </w:rPr>
        <w:t xml:space="preserve">recall</w:t>
      </w:r>
      <w:r>
        <w:rPr>
          <w:sz w:val="22"/>
          <w:szCs w:val="22"/>
        </w:rPr>
        <w:t xml:space="preserve"> bounded memories, compose the persona-scoped system prompt, </w:t>
      </w:r>
      <w:r>
        <w:rPr>
          <w:b/>
          <w:bCs/>
          <w:sz w:val="22"/>
          <w:szCs w:val="22"/>
        </w:rPr>
        <w:t xml:space="preserve">stream</w:t>
      </w:r>
      <w:r>
        <w:rPr>
          <w:sz w:val="22"/>
          <w:szCs w:val="22"/>
        </w:rPr>
        <w:t xml:space="preserve"> the reply, then asynchronously </w:t>
      </w:r>
      <w:r>
        <w:rPr>
          <w:b/>
          <w:bCs/>
          <w:sz w:val="22"/>
          <w:szCs w:val="22"/>
        </w:rPr>
        <w:t xml:space="preserve">write</w:t>
      </w:r>
      <w:r>
        <w:rPr>
          <w:sz w:val="22"/>
          <w:szCs w:val="22"/>
        </w:rPr>
        <w:t xml:space="preserve"> new memories and detect any proposed action. Because the write path runs after the reply has streamed, memory extraction never adds latency to what the user sees.</w:t>
      </w:r>
    </w:p>
    <w:p>
      <w:pPr>
        <w:pStyle w:val="Heading2"/>
      </w:pPr>
      <w:r>
        <w:t xml:space="preserve">3.3 Memory engine — the core</w:t>
      </w:r>
    </w:p>
    <w:p>
      <w:pPr>
        <w:spacing w:after="140" w:line="276"/>
      </w:pPr>
      <w:r>
        <w:rPr>
          <w:sz w:val="22"/>
          <w:szCs w:val="22"/>
        </w:rPr>
        <w:t xml:space="preserve">The engine is where the scored behaviors are implemented. It has three concerns: a write path, a read path, and forgetting.</w:t>
      </w:r>
    </w:p>
    <w:p>
      <w:pPr>
        <w:pStyle w:val="Heading3"/>
      </w:pPr>
      <w:r>
        <w:t xml:space="preserve">3.3.1 Write path</w:t>
      </w:r>
    </w:p>
    <w:p>
      <w:pPr>
        <w:spacing w:after="140" w:line="276"/>
      </w:pPr>
      <w:r>
        <w:rPr>
          <w:sz w:val="22"/>
          <w:szCs w:val="22"/>
        </w:rPr>
        <w:t xml:space="preserve">After a reply streams, the user’s turn is sent to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qwen-plus</w:t>
      </w:r>
      <w:r>
        <w:rPr>
          <w:sz w:val="22"/>
          <w:szCs w:val="22"/>
        </w:rPr>
        <w:t xml:space="preserve"> with an extraction prompt that returns a small JSON array of candidate memories, each typed (fact, preference, event, task, relationship) and scored for salience. Each candidate is embedded with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text-embedding-v4</w:t>
      </w:r>
      <w:r>
        <w:rPr>
          <w:sz w:val="22"/>
          <w:szCs w:val="22"/>
        </w:rPr>
        <w:t xml:space="preserve"> (1024 dimensions) and checked against the principal’s own namespace for near-duplicates. If a near-duplicate exists and the new statement updates it, the old memory is marked superseded; if it is a true duplicate, the candidate is skipped; otherwise it is written as a new active memory to both PostgreSQL and Qdrant, and the write is audited.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Figure 2 — Memory write path, including dedup and supersession." descr="Figure 2 — Memory write path, including dedup and supersession." title="Figure 2 — Memory write path, including dedup and super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Figure 2 — Memory write path, including dedup and supersession.</w:t>
      </w:r>
    </w:p>
    <w:p>
      <w:pPr>
        <w:pStyle w:val="Heading3"/>
      </w:pPr>
      <w:r>
        <w:t xml:space="preserve">3.3.2 Read path — bounded recall</w:t>
      </w:r>
    </w:p>
    <w:p>
      <w:pPr>
        <w:spacing w:after="140" w:line="276"/>
      </w:pPr>
      <w:r>
        <w:rPr>
          <w:sz w:val="22"/>
          <w:szCs w:val="22"/>
        </w:rPr>
        <w:t xml:space="preserve">Before generating a reply, the incoming query is embedded and used to search </w:t>
      </w:r>
      <w:r>
        <w:rPr>
          <w:b/>
          <w:bCs/>
          <w:sz w:val="22"/>
          <w:szCs w:val="22"/>
        </w:rPr>
        <w:t xml:space="preserve">only the principal’s namespace</w:t>
      </w:r>
      <w:r>
        <w:rPr>
          <w:sz w:val="22"/>
          <w:szCs w:val="22"/>
        </w:rPr>
        <w:t xml:space="preserve">, returning up to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K_CANDIDATES</w:t>
      </w:r>
      <w:r>
        <w:rPr>
          <w:sz w:val="22"/>
          <w:szCs w:val="22"/>
        </w:rPr>
        <w:t xml:space="preserve"> (20) active candidates. These are reranked by a blend of similarity, salience, and recency, and the top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K_CONTEXT</w:t>
      </w:r>
      <w:r>
        <w:rPr>
          <w:sz w:val="22"/>
          <w:szCs w:val="22"/>
        </w:rPr>
        <w:t xml:space="preserve"> (6) are kept under a token budget and injected into the prompt. This is what makes recall </w:t>
      </w:r>
      <w:r>
        <w:rPr>
          <w:i/>
          <w:iCs/>
          <w:sz w:val="22"/>
          <w:szCs w:val="22"/>
        </w:rPr>
        <w:t xml:space="preserve">bounded</w:t>
      </w:r>
      <w:r>
        <w:rPr>
          <w:sz w:val="22"/>
          <w:szCs w:val="22"/>
        </w:rPr>
        <w:t xml:space="preserve">: the store may hold hundreds of memories per principal, but only a handful ever reach the model. The full trace is emitted for the inspector, and the recalled memories’ last-used timestamps are bumped to feed future recency ranking.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4352925"/>
            <wp:effectExtent t="0" r="0" b="0" l="0"/>
            <wp:docPr id="1" name="Figure 3 — Bounded recall. Hundreds stored; only the top six enter the context window." descr="Figure 3 — Bounded recall. Hundreds stored; only the top six enter the context window." title="Figure 3 — Bounded recall. Hundreds stored; only the top six enter the context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Figure 3 — Bounded recall. Hundreds stored; only the top six enter the context window.</w:t>
      </w:r>
    </w:p>
    <w:p>
      <w:pPr>
        <w:pStyle w:val="Heading3"/>
      </w:pPr>
      <w:r>
        <w:t xml:space="preserve">3.3.3 Forgetting</w:t>
      </w:r>
    </w:p>
    <w:p>
      <w:pPr>
        <w:spacing w:after="140" w:line="276"/>
      </w:pPr>
      <w:r>
        <w:rPr>
          <w:sz w:val="22"/>
          <w:szCs w:val="22"/>
        </w:rPr>
        <w:t xml:space="preserve">Three mechanisms keep the active set current, and every transition is audited so the inspector can show it happening.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Figure 4 — The three forgetting mechanisms feeding a single ‘excluded from recall’ outcome." descr="Figure 4 — The three forgetting mechanisms feeding a single ‘excluded from recall’ outcome." title="Figure 4 — The three forgetting mechanisms feeding a single ‘excluded from recall’ outco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Figure 4 — The three forgetting mechanisms feeding a single ‘excluded from recall’ outcome.</w:t>
      </w:r>
    </w:p>
    <w:p>
      <w:pPr>
        <w:pStyle w:val="Heading2"/>
      </w:pPr>
      <w:r>
        <w:t xml:space="preserve">3.4 Isolation layer — the chokepoint</w:t>
      </w:r>
    </w:p>
    <w:p>
      <w:pPr>
        <w:spacing w:after="140" w:line="276"/>
      </w:pPr>
      <w:r>
        <w:rPr>
          <w:sz w:val="22"/>
          <w:szCs w:val="22"/>
        </w:rPr>
        <w:t xml:space="preserve">Isolation is enforced at exactly one place.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memory/qdrant_client.py</w:t>
      </w:r>
      <w:r>
        <w:rPr>
          <w:sz w:val="22"/>
          <w:szCs w:val="22"/>
        </w:rPr>
        <w:t xml:space="preserve"> is the only module permitted to read vectors, and its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search()</w:t>
      </w:r>
      <w:r>
        <w:rPr>
          <w:sz w:val="22"/>
          <w:szCs w:val="22"/>
        </w:rPr>
        <w:t xml:space="preserve"> function always scopes to a single principal’s namespace — there is no code path, and must never be one, that reads vectors without a namespace filter. In the recommended mode each principal gets a physically separate Qdrant collection, so the stores are not merely filtered but literally distinct. A hard assertion fails loudly rather than ever returning a foreign memory, and an automated guard test proves that across 100+ seeded memories one principal’s query never returns another principal’s id.</w:t>
      </w:r>
    </w:p>
    <w:p>
      <w:pPr>
        <w:spacing w:after="140" w:line="276"/>
      </w:pPr>
      <w:r>
        <w:rPr>
          <w:sz w:val="22"/>
          <w:szCs w:val="22"/>
        </w:rPr>
        <w:t xml:space="preserve">When an agent is asked for something only another principal knows, the namespace-scoped search returns nothing, the agent truthfully says it does not have that information, and an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isolation_block</w:t>
      </w:r>
      <w:r>
        <w:rPr>
          <w:sz w:val="22"/>
          <w:szCs w:val="22"/>
        </w:rPr>
        <w:t xml:space="preserve"> event is written to the audit log.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Figure 5 — Isolation enforcement. One chokepoint, separate stores, audited cross-boundary attempts." descr="Figure 5 — Isolation enforcement. One chokepoint, separate stores, audited cross-boundary attempts." title="Figure 5 — Isolation enforcement. One chokepoint, separate stores, audited cross-boundary attemp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Figure 5 — Isolation enforcement. One chokepoint, separate stores, audited cross-boundary attempts.</w:t>
      </w:r>
    </w:p>
    <w:p>
      <w:pPr>
        <w:pStyle w:val="Heading2"/>
      </w:pPr>
      <w:r>
        <w:t xml:space="preserve">3.5 Model access layer — LiteLLM</w:t>
      </w:r>
    </w:p>
    <w:p>
      <w:pPr>
        <w:spacing w:after="140" w:line="276"/>
      </w:pPr>
      <w:r>
        <w:rPr>
          <w:sz w:val="22"/>
          <w:szCs w:val="22"/>
        </w:rPr>
        <w:t xml:space="preserve">All model and embedding calls pass through one wrapper. Model names carry a provider prefix (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dashscope/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ollama/</w:t>
      </w:r>
      <w:r>
        <w:rPr>
          <w:sz w:val="22"/>
          <w:szCs w:val="22"/>
        </w:rPr>
        <w:t xml:space="preserve">) which is stripped by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_clean_model()</w:t>
      </w:r>
      <w:r>
        <w:rPr>
          <w:sz w:val="22"/>
          <w:szCs w:val="22"/>
        </w:rPr>
        <w:t xml:space="preserve"> before the OpenAI-compatible HTTP call, so the same code reaches DashScope’s compatible-mode endpoint or a local Ollama server with no change. Calls retry with backoff on rate limits. This single seam is what makes the cloud/local swap a configuration change rather than a code change — the technical spine of the ‘same architecture, two deployments’ 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80"/>
        <w:gridCol w:w="31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Role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Cloud (Qwen Cloud)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Local (Ollama)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Reasoning / extraction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qwen-plus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qwen3:8b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Headline turns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qwen3-max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qwen3:32b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Embeddings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text-embedding-v4</w:t>
            </w:r>
            <w:r>
              <w:rPr>
                <w:sz w:val="18"/>
                <w:szCs w:val="18"/>
              </w:rPr>
              <w:t xml:space="preserve"> (1024-d)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nomic-embed-text</w:t>
            </w:r>
          </w:p>
        </w:tc>
      </w:tr>
    </w:tbl>
    <w:p>
      <w:pPr>
        <w:pStyle w:val="Heading2"/>
      </w:pPr>
      <w:r>
        <w:t xml:space="preserve">3.6 Persistence layer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Qdrant — </w:t>
      </w:r>
      <w:r>
        <w:rPr>
          <w:sz w:val="22"/>
          <w:szCs w:val="22"/>
        </w:rPr>
        <w:t xml:space="preserve">the vector store, partitioned by per-principal namespace/collection. This partition is the isolation unit.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PostgreSQL 16 — </w:t>
      </w:r>
      <w:r>
        <w:rPr>
          <w:sz w:val="22"/>
          <w:szCs w:val="22"/>
        </w:rPr>
        <w:t xml:space="preserve">the system of record for identity, the canonical memory rows (content, kind, salience, status, supersession links, expiry), and the audit log.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Redis 7 — </w:t>
      </w:r>
      <w:r>
        <w:rPr>
          <w:sz w:val="22"/>
          <w:szCs w:val="22"/>
        </w:rPr>
        <w:t xml:space="preserve">session tokens and short-term working state.</w:t>
      </w:r>
    </w:p>
    <w:p>
      <w:pPr>
        <w:pStyle w:val="Heading2"/>
      </w:pPr>
      <w:r>
        <w:t xml:space="preserve">3.7 Human-in-the-loop</w:t>
      </w:r>
    </w:p>
    <w:p>
      <w:pPr>
        <w:spacing w:after="140" w:line="276"/>
      </w:pPr>
      <w:r>
        <w:rPr>
          <w:sz w:val="22"/>
          <w:szCs w:val="22"/>
        </w:rPr>
        <w:t xml:space="preserve">When a reply proposes a concrete action — a reminder, a message draft, a calendar event — it is captured as a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proposed_action</w:t>
      </w:r>
      <w:r>
        <w:rPr>
          <w:sz w:val="22"/>
          <w:szCs w:val="22"/>
        </w:rPr>
        <w:t xml:space="preserve"> in the ‘pending’ state and surfaced as an approval card. Nothing is committed until a human approves, and both approval and rejection are audited. The agent drafts and proposes; the person decides.</w:t>
      </w:r>
    </w:p>
    <w:p>
      <w:r>
        <w:br w:type="page"/>
      </w:r>
    </w:p>
    <w:p>
      <w:pPr>
        <w:pStyle w:val="Heading1"/>
      </w:pPr>
      <w:r>
        <w:t xml:space="preserve">4. End-to-end chat flow</w:t>
      </w:r>
    </w:p>
    <w:p>
      <w:pPr>
        <w:spacing w:after="140" w:line="276"/>
      </w:pPr>
      <w:r>
        <w:rPr>
          <w:sz w:val="22"/>
          <w:szCs w:val="22"/>
        </w:rPr>
        <w:t xml:space="preserve">A single chat turn crosses every layer in a fixed order. Recall happens before generation; the heavy write work happens after the reply has already reached the user.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19550"/>
            <wp:effectExtent t="0" r="0" b="0" l="0"/>
            <wp:docPr id="1" name="Figure 6 — One chat turn, end to end. Green arrows are SSE events to the browser." descr="Figure 6 — One chat turn, end to end. Green arrows are SSE events to the browser." title="Figure 6 — One chat turn, end to end. Green arrows are SSE events to the brows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Figure 6 — One chat turn, end to end. Green arrows are SSE events to the browser.</w:t>
      </w:r>
    </w:p>
    <w:p>
      <w:pPr>
        <w:pStyle w:val="Heading1"/>
      </w:pPr>
      <w:r>
        <w:t xml:space="preserve">5. Data model</w:t>
      </w:r>
    </w:p>
    <w:p>
      <w:pPr>
        <w:spacing w:after="140" w:line="276"/>
      </w:pPr>
      <w:r>
        <w:rPr>
          <w:sz w:val="22"/>
          <w:szCs w:val="22"/>
        </w:rPr>
        <w:t xml:space="preserve">PostgreSQL holds seven tables. The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memories</w:t>
      </w:r>
      <w:r>
        <w:rPr>
          <w:sz w:val="22"/>
          <w:szCs w:val="22"/>
        </w:rPr>
        <w:t xml:space="preserve"> table is the heart; the namespace column is denormalized onto it and onto every Qdrant point as the isolation key. The tenant and principal concepts map to the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households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members</w:t>
      </w:r>
      <w:r>
        <w:rPr>
          <w:sz w:val="22"/>
          <w:szCs w:val="22"/>
        </w:rPr>
        <w:t xml:space="preserve"> tables in the reference build — renaming them is the main change when adapting the system to a non-household use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Table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households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tenant boundary — the grouping for a set of principals (a household in the reference build).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members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memory-isolated principal (a household member in the reference build): name, role, persona, and the unique memory_namespace — the isolation key.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sessions / messages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Multi-turn conversation history; cross-session recall is the point.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memories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Distilled durable memories: kind, content, salience, status (active/superseded/expired), supersession link, expiry, and the 1:1 Qdrant point id.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audit_log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Every memory write, recall, isolation block, maintenance run, and HITL decision.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proposed_actions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Agent-proposed actions awaiting human approval.</w:t>
            </w:r>
          </w:p>
        </w:tc>
      </w:tr>
    </w:tbl>
    <w:p>
      <w:pPr>
        <w:pStyle w:val="Heading1"/>
      </w:pPr>
      <w:r>
        <w:t xml:space="preserve">6. API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POST /api/session/start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Begin a session for a member.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SSE chat: recall → compose → stream → async write → HITL detect.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GET /api/members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Member list for the demo switcher.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GET /api/inspector/memories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 member’s memory store with status and salience.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GET /api/inspector/audit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Audit log including isolation_block events.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POST /api/inspector/maintenance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 the forgetting sweep live.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GET /api/actions/pending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Pending proposed actions.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POST /api/actions/{id}/approve|reject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Resolve a proposed action (audited).</w:t>
            </w:r>
          </w:p>
        </w:tc>
      </w:tr>
      <w:tr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POST /api/demo/seed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Seed 3 personas + 100+ memories for the bounded-recall demo.</w:t>
            </w:r>
          </w:p>
        </w:tc>
      </w:tr>
    </w:tbl>
    <w:p>
      <w:pPr>
        <w:pStyle w:val="Heading1"/>
      </w:pPr>
      <w:r>
        <w:t xml:space="preserve">7. Deployment</w:t>
      </w:r>
    </w:p>
    <w:p>
      <w:pPr>
        <w:spacing w:after="140" w:line="276"/>
      </w:pPr>
      <w:r>
        <w:rPr>
          <w:sz w:val="22"/>
          <w:szCs w:val="22"/>
        </w:rPr>
        <w:t xml:space="preserve">Docker Compose brings up PostgreSQL, Qdrant, Redis, and the API as one stack. The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/health</w:t>
      </w:r>
      <w:r>
        <w:rPr>
          <w:sz w:val="22"/>
          <w:szCs w:val="22"/>
        </w:rPr>
        <w:t xml:space="preserve"> endpoint proves the configured provider is reachable by performing one real completion and one real embedding. The cloud path is the hackathon demo (deployed on Alibaba Cloud ECS); the local path runs the identical stack against Ollama. </w:t>
      </w:r>
      <w:r>
        <w:rPr>
          <w:rFonts w:ascii="Consolas" w:cs="Consolas" w:eastAsia="Consolas" w:hAnsi="Consolas"/>
          <w:color w:val="0F766E"/>
          <w:sz w:val="20"/>
          <w:szCs w:val="20"/>
        </w:rPr>
        <w:t xml:space="preserve">litellm_config.yaml</w:t>
      </w:r>
      <w:r>
        <w:rPr>
          <w:sz w:val="22"/>
          <w:szCs w:val="22"/>
        </w:rPr>
        <w:t xml:space="preserve"> is the declarative record of the Qwen Cloud integration.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/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Cloud path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Local path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Selector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DASHSCOPE_API_KEY</w:t>
            </w:r>
            <w:r>
              <w:rPr>
                <w:sz w:val="18"/>
                <w:szCs w:val="18"/>
              </w:rPr>
              <w:t xml:space="preserve"> set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F766E"/>
                <w:sz w:val="20"/>
                <w:szCs w:val="20"/>
              </w:rPr>
              <w:t xml:space="preserve">DASHSCOPE_API_KEY</w:t>
            </w:r>
            <w:r>
              <w:rPr>
                <w:sz w:val="18"/>
                <w:szCs w:val="18"/>
              </w:rPr>
              <w:t xml:space="preserve"> empty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Models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Qwen Cloud (DashScope)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Ollama open-weight Qwen3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Data leaves boundary?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Inference only, never trained on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— fully local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Code changes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3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</w:tr>
    </w:tbl>
    <w:p>
      <w:pPr>
        <w:pStyle w:val="Heading1"/>
      </w:pPr>
      <w:r>
        <w:t xml:space="preserve">8. Security &amp; privacy posture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Isolation by construction — </w:t>
      </w:r>
      <w:r>
        <w:rPr>
          <w:sz w:val="22"/>
          <w:szCs w:val="22"/>
        </w:rPr>
        <w:t xml:space="preserve">a single vector-read chokepoint, always namespace-scoped, with separate collections per member and a guard test as evidence.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Auditability — </w:t>
      </w:r>
      <w:r>
        <w:rPr>
          <w:sz w:val="22"/>
          <w:szCs w:val="22"/>
        </w:rPr>
        <w:t xml:space="preserve">every memory operation, isolation block, and human decision is recorded and exportable.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Open weights, no training — </w:t>
      </w:r>
      <w:r>
        <w:rPr>
          <w:sz w:val="22"/>
          <w:szCs w:val="22"/>
        </w:rPr>
        <w:t xml:space="preserve">the local path runs entirely on open-weight models with no data leaving the host; the cloud path uses inference only.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2"/>
          <w:szCs w:val="22"/>
        </w:rPr>
        <w:t xml:space="preserve">Human in control — </w:t>
      </w:r>
      <w:r>
        <w:rPr>
          <w:sz w:val="22"/>
          <w:szCs w:val="22"/>
        </w:rPr>
        <w:t xml:space="preserve">the agent proposes; a person approves before anything is committed.</w:t>
      </w:r>
    </w:p>
    <w:p>
      <w:pPr>
        <w:pStyle w:val="Heading1"/>
      </w:pPr>
      <w:r>
        <w:t xml:space="preserve">9. How the design maps to Track 1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Scored behavior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Where it lives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How it is shown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Accumulation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Write path + cross-session recall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Fact in session A recalled in session B; recall trace in inspector.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Isolation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Chokepoint + per-principal collections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Cross-principal query returns nothing; side-by-side stores; isolation_block audit.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Forgetting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Supersession + expiry + decay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Old memory flips to superseded; ‘run maintenance’ sweeps live.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Bounded recall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Rerank + top-k under budget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100+ stored, only 6 enter context; token count in the trace.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PrivateDesk MemoryAgent — Architecture &amp; Design   ·  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366F1" w:sz="6" w:space="4"/>
      </w:pBdr>
      <w:spacing w:after="160" w:before="320"/>
      <w:outlineLvl w:val="0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338C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2510030eb13141998d1bc4e34924d2f0140ab6.png"/><Relationship Id="rId9" Type="http://schemas.openxmlformats.org/officeDocument/2006/relationships/image" Target="media/348b10be0ffe95813cab371d4ef85b7f5aea8a9f.png"/><Relationship Id="rId10" Type="http://schemas.openxmlformats.org/officeDocument/2006/relationships/image" Target="media/1a25bbbca8567796213754655a587bd4c93d861b.png"/><Relationship Id="rId11" Type="http://schemas.openxmlformats.org/officeDocument/2006/relationships/image" Target="media/34211f214a0329f3840cce042ffc4eb46bfa1031.png"/><Relationship Id="rId12" Type="http://schemas.openxmlformats.org/officeDocument/2006/relationships/image" Target="media/b57111e0dfbcbafdac4bffceb0a9759d684ee82e.png"/><Relationship Id="rId13" Type="http://schemas.openxmlformats.org/officeDocument/2006/relationships/image" Target="media/d6166e13b5748fdd7ab511f17e44da203da7433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2026-06-26T18:41:59.579Z</dcterms:created>
  <dcterms:modified xsi:type="dcterms:W3CDTF">2026-06-26T18:41:59.590Z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