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智慧仓储升级改造项目立项申请"/>
    <w:p>
      <w:pPr>
        <w:pStyle w:val="Heading1"/>
      </w:pPr>
      <w:r>
        <w:rPr>
          <w:rFonts w:hint="eastAsia"/>
        </w:rPr>
        <w:t xml:space="preserve">智慧仓储升级改造项目立项申请</w:t>
      </w:r>
    </w:p>
    <w:bookmarkStart w:id="9" w:name="一项目背景与必要性"/>
    <w:p>
      <w:pPr>
        <w:pStyle w:val="Heading2"/>
      </w:pPr>
      <w:r>
        <w:rPr>
          <w:rFonts w:hint="eastAsia"/>
        </w:rPr>
        <w:t xml:space="preserve">一、项目背景与必要性</w:t>
      </w:r>
    </w:p>
    <w:p>
      <w:pPr>
        <w:pStyle w:val="FirstParagraph"/>
      </w:pPr>
      <w:r>
        <w:rPr>
          <w:rFonts w:hint="eastAsia"/>
        </w:rPr>
        <w:t xml:space="preserve">公司现有中心仓库建于</w:t>
      </w:r>
      <w:r>
        <w:t xml:space="preserve"> 2013 </w:t>
      </w:r>
      <w:r>
        <w:rPr>
          <w:rFonts w:hint="eastAsia"/>
        </w:rPr>
        <w:t xml:space="preserve">年，采用人工分拣与纸质台账管理，日均出入库</w:t>
      </w:r>
      <w:r>
        <w:t xml:space="preserve"> 1.2 </w:t>
      </w:r>
      <w:r>
        <w:rPr>
          <w:rFonts w:hint="eastAsia"/>
        </w:rPr>
        <w:t xml:space="preserve">万件，订单高峰期分拣差错率约</w:t>
      </w:r>
      <w:r>
        <w:t xml:space="preserve"> </w:t>
      </w:r>
      <w:r>
        <w:rPr>
          <w:rFonts w:hint="eastAsia"/>
        </w:rPr>
        <w:t xml:space="preserve">1.8%，平均订单履约时长</w:t>
      </w:r>
      <w:r>
        <w:t xml:space="preserve"> 6.5 </w:t>
      </w:r>
      <w:r>
        <w:rPr>
          <w:rFonts w:hint="eastAsia"/>
        </w:rPr>
        <w:t xml:space="preserve">小时，已难以支撑业务年均</w:t>
      </w:r>
      <w:r>
        <w:t xml:space="preserve"> 20% </w:t>
      </w:r>
      <w:r>
        <w:rPr>
          <w:rFonts w:hint="eastAsia"/>
        </w:rPr>
        <w:t xml:space="preserve">的增长。随着电商与经销渠道加速融合，客户对当日达、次日达的要求不断提升，现有仓储在作业效率、拣选准确率、批次可追溯性上均存在明显短板，升级改造势在必行。</w:t>
      </w:r>
    </w:p>
    <w:bookmarkEnd w:id="9"/>
    <w:bookmarkStart w:id="10" w:name="二建设目标"/>
    <w:p>
      <w:pPr>
        <w:pStyle w:val="Heading2"/>
      </w:pPr>
      <w:r>
        <w:rPr>
          <w:rFonts w:hint="eastAsia"/>
        </w:rPr>
        <w:t xml:space="preserve">二、建设目标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分拣差错率由</w:t>
      </w:r>
      <w:r>
        <w:t xml:space="preserve"> 1.8% </w:t>
      </w:r>
      <w:r>
        <w:rPr>
          <w:rFonts w:hint="eastAsia"/>
        </w:rPr>
        <w:t xml:space="preserve">降至</w:t>
      </w:r>
      <w:r>
        <w:t xml:space="preserve"> 0.3% </w:t>
      </w:r>
      <w:r>
        <w:rPr>
          <w:rFonts w:hint="eastAsia"/>
        </w:rPr>
        <w:t xml:space="preserve">以下；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平均订单履约时长由</w:t>
      </w:r>
      <w:r>
        <w:t xml:space="preserve"> 6.5 </w:t>
      </w:r>
      <w:r>
        <w:rPr>
          <w:rFonts w:hint="eastAsia"/>
        </w:rPr>
        <w:t xml:space="preserve">小时压缩至</w:t>
      </w:r>
      <w:r>
        <w:t xml:space="preserve"> 2.5 </w:t>
      </w:r>
      <w:r>
        <w:rPr>
          <w:rFonts w:hint="eastAsia"/>
        </w:rPr>
        <w:t xml:space="preserve">小时；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库存周转率提升</w:t>
      </w:r>
      <w:r>
        <w:t xml:space="preserve"> </w:t>
      </w:r>
      <w:r>
        <w:rPr>
          <w:rFonts w:hint="eastAsia"/>
        </w:rPr>
        <w:t xml:space="preserve">30%，实现批次入库到出库全程可追溯。</w:t>
      </w:r>
    </w:p>
    <w:bookmarkEnd w:id="10"/>
    <w:bookmarkStart w:id="11" w:name="三主要建设内容"/>
    <w:p>
      <w:pPr>
        <w:pStyle w:val="Heading2"/>
      </w:pPr>
      <w:r>
        <w:rPr>
          <w:rFonts w:hint="eastAsia"/>
        </w:rPr>
        <w:t xml:space="preserve">三、主要建设内容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部署自动化立体货架与穿梭车系统，新增货位</w:t>
      </w:r>
      <w:r>
        <w:t xml:space="preserve"> 8600 </w:t>
      </w:r>
      <w:r>
        <w:rPr>
          <w:rFonts w:hint="eastAsia"/>
        </w:rPr>
        <w:t xml:space="preserve">个；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建设仓储管理系统（WMS）与设备控制系统（WCS），对接现有</w:t>
      </w:r>
      <w:r>
        <w:t xml:space="preserve"> </w:t>
      </w:r>
      <w:r>
        <w:rPr>
          <w:rFonts w:hint="eastAsia"/>
        </w:rPr>
        <w:t xml:space="preserve">ERP；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引入</w:t>
      </w:r>
      <w:r>
        <w:t xml:space="preserve"> AGV </w:t>
      </w:r>
      <w:r>
        <w:rPr>
          <w:rFonts w:hint="eastAsia"/>
        </w:rPr>
        <w:t xml:space="preserve">搬运机器人</w:t>
      </w:r>
      <w:r>
        <w:t xml:space="preserve"> 12 </w:t>
      </w:r>
      <w:r>
        <w:rPr>
          <w:rFonts w:hint="eastAsia"/>
        </w:rPr>
        <w:t xml:space="preserve">台、电子标签拣选（DPS）工位</w:t>
      </w:r>
      <w:r>
        <w:t xml:space="preserve"> 40 </w:t>
      </w:r>
      <w:r>
        <w:rPr>
          <w:rFonts w:hint="eastAsia"/>
        </w:rPr>
        <w:t xml:space="preserve">个；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改造仓库供配电、消防喷淋与网络基础设施。</w:t>
      </w:r>
    </w:p>
    <w:bookmarkEnd w:id="11"/>
    <w:bookmarkStart w:id="12" w:name="四投资概算与资金来源"/>
    <w:p>
      <w:pPr>
        <w:pStyle w:val="Heading2"/>
      </w:pPr>
      <w:r>
        <w:rPr>
          <w:rFonts w:hint="eastAsia"/>
        </w:rPr>
        <w:t xml:space="preserve">四、投资概算与资金来源</w:t>
      </w:r>
    </w:p>
    <w:p>
      <w:pPr>
        <w:pStyle w:val="FirstParagraph"/>
      </w:pPr>
      <w:r>
        <w:rPr>
          <w:rFonts w:hint="eastAsia"/>
        </w:rPr>
        <w:t xml:space="preserve">项目总投资</w:t>
      </w:r>
      <w:r>
        <w:t xml:space="preserve"> 2380 </w:t>
      </w:r>
      <w:r>
        <w:rPr>
          <w:rFonts w:hint="eastAsia"/>
        </w:rPr>
        <w:t xml:space="preserve">万元，其中设备购置</w:t>
      </w:r>
      <w:r>
        <w:t xml:space="preserve"> 1560 </w:t>
      </w:r>
      <w:r>
        <w:rPr>
          <w:rFonts w:hint="eastAsia"/>
        </w:rPr>
        <w:t xml:space="preserve">万元、软件与系统集成</w:t>
      </w:r>
      <w:r>
        <w:t xml:space="preserve"> 520 </w:t>
      </w:r>
      <w:r>
        <w:rPr>
          <w:rFonts w:hint="eastAsia"/>
        </w:rPr>
        <w:t xml:space="preserve">万元、土建改造</w:t>
      </w:r>
      <w:r>
        <w:t xml:space="preserve"> 300 </w:t>
      </w:r>
      <w:r>
        <w:rPr>
          <w:rFonts w:hint="eastAsia"/>
        </w:rPr>
        <w:t xml:space="preserve">万元。资金来源为企业自筹</w:t>
      </w:r>
      <w:r>
        <w:t xml:space="preserve"> </w:t>
      </w:r>
      <w:r>
        <w:rPr>
          <w:rFonts w:hint="eastAsia"/>
        </w:rPr>
        <w:t xml:space="preserve">70%、银行专项贷款</w:t>
      </w:r>
      <w:r>
        <w:t xml:space="preserve"> 30%。</w:t>
      </w:r>
    </w:p>
    <w:bookmarkEnd w:id="12"/>
    <w:bookmarkStart w:id="13" w:name="五实施进度计划"/>
    <w:p>
      <w:pPr>
        <w:pStyle w:val="Heading2"/>
      </w:pPr>
      <w:r>
        <w:rPr>
          <w:rFonts w:hint="eastAsia"/>
        </w:rPr>
        <w:t xml:space="preserve">五、实施进度计划</w:t>
      </w:r>
    </w:p>
    <w:p>
      <w:pPr>
        <w:pStyle w:val="FirstParagraph"/>
      </w:pPr>
      <w:r>
        <w:rPr>
          <w:rFonts w:hint="eastAsia"/>
        </w:rPr>
        <w:t xml:space="preserve">项目建设周期</w:t>
      </w:r>
      <w:r>
        <w:t xml:space="preserve"> 10 </w:t>
      </w:r>
      <w:r>
        <w:rPr>
          <w:rFonts w:hint="eastAsia"/>
        </w:rPr>
        <w:t xml:space="preserve">个月：第</w:t>
      </w:r>
      <w:r>
        <w:t xml:space="preserve"> 1–2 </w:t>
      </w:r>
      <w:r>
        <w:rPr>
          <w:rFonts w:hint="eastAsia"/>
        </w:rPr>
        <w:t xml:space="preserve">月完成方案设计与招标；第</w:t>
      </w:r>
      <w:r>
        <w:t xml:space="preserve"> 3–7 </w:t>
      </w:r>
      <w:r>
        <w:rPr>
          <w:rFonts w:hint="eastAsia"/>
        </w:rPr>
        <w:t xml:space="preserve">月设备到货、安装与集成；第</w:t>
      </w:r>
      <w:r>
        <w:t xml:space="preserve"> 8–9 </w:t>
      </w:r>
      <w:r>
        <w:rPr>
          <w:rFonts w:hint="eastAsia"/>
        </w:rPr>
        <w:t xml:space="preserve">月系统联调与试运行；第</w:t>
      </w:r>
      <w:r>
        <w:t xml:space="preserve"> 10 </w:t>
      </w:r>
      <w:r>
        <w:rPr>
          <w:rFonts w:hint="eastAsia"/>
        </w:rPr>
        <w:t xml:space="preserve">月竣工验收并转入运营。</w:t>
      </w:r>
    </w:p>
    <w:bookmarkEnd w:id="13"/>
    <w:bookmarkStart w:id="14" w:name="六预期效益"/>
    <w:p>
      <w:pPr>
        <w:pStyle w:val="Heading2"/>
      </w:pPr>
      <w:r>
        <w:rPr>
          <w:rFonts w:hint="eastAsia"/>
        </w:rPr>
        <w:t xml:space="preserve">六、预期效益</w:t>
      </w:r>
    </w:p>
    <w:p>
      <w:pPr>
        <w:pStyle w:val="FirstParagraph"/>
      </w:pPr>
      <w:r>
        <w:rPr>
          <w:rFonts w:hint="eastAsia"/>
        </w:rPr>
        <w:t xml:space="preserve">项目投运后预计年节约人工成本</w:t>
      </w:r>
      <w:r>
        <w:t xml:space="preserve"> 420 </w:t>
      </w:r>
      <w:r>
        <w:rPr>
          <w:rFonts w:hint="eastAsia"/>
        </w:rPr>
        <w:t xml:space="preserve">万元、减少差错赔付</w:t>
      </w:r>
      <w:r>
        <w:t xml:space="preserve"> 90 </w:t>
      </w:r>
      <w:r>
        <w:rPr>
          <w:rFonts w:hint="eastAsia"/>
        </w:rPr>
        <w:t xml:space="preserve">万元，投资回收期约</w:t>
      </w:r>
      <w:r>
        <w:t xml:space="preserve"> 4.2 </w:t>
      </w:r>
      <w:r>
        <w:rPr>
          <w:rFonts w:hint="eastAsia"/>
        </w:rPr>
        <w:t xml:space="preserve">年。同时显著提升客户满意度与订单响应能力，为区域仓配一体化奠定基础。</w:t>
      </w:r>
    </w:p>
    <w:bookmarkEnd w:id="14"/>
    <w:bookmarkStart w:id="15" w:name="七风险与对策"/>
    <w:p>
      <w:pPr>
        <w:pStyle w:val="Heading2"/>
      </w:pPr>
      <w:r>
        <w:rPr>
          <w:rFonts w:hint="eastAsia"/>
        </w:rPr>
        <w:t xml:space="preserve">七、风险与对策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系统集成风险：选择成熟供应商，分阶段联调，保留人工备用流程；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切换过渡风险：采用”旧仓不停、新仓并行”策略，逐区迁移；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投资超支风险：设立</w:t>
      </w:r>
      <w:r>
        <w:t xml:space="preserve"> 5% </w:t>
      </w:r>
      <w:r>
        <w:rPr>
          <w:rFonts w:hint="eastAsia"/>
        </w:rPr>
        <w:t xml:space="preserve">预备费，实行里程碑付款。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2026-07-16T02:39:19Z</dcterms:created>
  <dcterms:modified xsi:type="dcterms:W3CDTF">2026-07-16T02:39:19Z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