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dddddddddd</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