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 w:after="40" w:line="276" w:lineRule="auto"/>
        <w:jc w:val="center"/>
      </w:pPr>
      <w:r>
        <w:rPr>
          <w:rFonts w:ascii="Times New Roman" w:hAnsi="Times New Roman"/>
          <w:b/>
          <w:i w:val="0"/>
          <w:color w:val="0F2A4A"/>
          <w:sz w:val="30"/>
        </w:rPr>
        <w:t>AMRITA VISHWA VIDYAPEETHAM</w:t>
      </w:r>
    </w:p>
    <w:p>
      <w:pPr>
        <w:spacing w:before="0" w:after="300" w:line="276" w:lineRule="auto"/>
        <w:jc w:val="center"/>
      </w:pPr>
      <w:r>
        <w:rPr>
          <w:rFonts w:ascii="Times New Roman" w:hAnsi="Times New Roman"/>
          <w:b/>
          <w:i w:val="0"/>
          <w:color w:val="646E7D"/>
          <w:sz w:val="20"/>
        </w:rPr>
        <w:t>DEPARTMENT OF ARTIFICIAL INTELLIGENCE · COIMBATORE CAMPUS</w:t>
      </w:r>
    </w:p>
    <w:p>
      <w:pPr>
        <w:spacing w:before="0" w:after="80" w:line="276" w:lineRule="auto"/>
        <w:jc w:val="center"/>
      </w:pPr>
      <w:r>
        <w:rPr>
          <w:rFonts w:ascii="Times New Roman" w:hAnsi="Times New Roman"/>
          <w:b/>
          <w:i w:val="0"/>
          <w:color w:val="A32A2A"/>
          <w:sz w:val="22"/>
        </w:rPr>
        <w:t>END-SEMESTER PROJECT REPORT</w:t>
      </w:r>
    </w:p>
    <w:p>
      <w:pPr>
        <w:spacing w:before="0" w:after="240" w:line="276" w:lineRule="auto"/>
        <w:jc w:val="center"/>
      </w:pPr>
      <w:r>
        <w:rPr>
          <w:rFonts w:ascii="Times New Roman" w:hAnsi="Times New Roman"/>
          <w:b/>
          <w:i w:val="0"/>
          <w:color w:val="0F2A4A"/>
          <w:sz w:val="23"/>
        </w:rPr>
        <w:t>24MAT204 / 23MAT204 – MATHEMATICS FOR INTELLIGENT SYSTEMS 3</w:t>
      </w:r>
    </w:p>
    <w:p>
      <w:pPr>
        <w:spacing w:before="0" w:after="120" w:line="288" w:lineRule="auto"/>
        <w:jc w:val="center"/>
      </w:pPr>
      <w:r>
        <w:rPr>
          <w:rFonts w:ascii="Times New Roman" w:hAnsi="Times New Roman"/>
          <w:b/>
          <w:i w:val="0"/>
          <w:color w:val="0F2A4A"/>
          <w:sz w:val="32"/>
        </w:rPr>
        <w:t>SparsioQ: An End-to-End Sparse Convex Optimization &amp; Quantum-Accelerated Wealth Management Engine with Multimodal LLM Intelligence</w:t>
      </w:r>
    </w:p>
    <w:p>
      <w:pPr>
        <w:spacing w:before="0" w:after="400" w:line="288" w:lineRule="auto"/>
        <w:jc w:val="center"/>
      </w:pPr>
      <w:r>
        <w:rPr>
          <w:rFonts w:ascii="Times New Roman" w:hAnsi="Times New Roman"/>
          <w:b w:val="0"/>
          <w:i/>
          <w:color w:val="3C4B5F"/>
          <w:sz w:val="20"/>
        </w:rPr>
        <w:t>Real-Time Autonomous Portfolio Rebalancing, Sparse L1-Regularized Markowitz Frontiers, Regime-Aware HMM Risk Hedging, and Quantum Amplitude Estimation for Retail &amp; Institutional Asset Allocation</w:t>
      </w:r>
    </w:p>
    <w:p>
      <w:pPr>
        <w:spacing w:before="0" w:after="120" w:line="276" w:lineRule="auto"/>
        <w:jc w:val="center"/>
      </w:pPr>
      <w:r>
        <w:rPr>
          <w:rFonts w:ascii="Times New Roman" w:hAnsi="Times New Roman"/>
          <w:b/>
          <w:i w:val="0"/>
          <w:color w:val="0F2A4A"/>
          <w:sz w:val="20"/>
        </w:rPr>
        <w:t>PROJECT SUBMISSION &amp; TEAM PARTICULARS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3346"/>
        <w:gridCol w:w="3346"/>
        <w:gridCol w:w="3346"/>
      </w:tblGrid>
      <w:tr>
        <w:tc>
          <w:tcPr>
            <w:tcW w:type="dxa" w:w="3346"/>
            <w:shd w:fill="0F2A4A"/>
            <w:tcMar>
              <w:top w:w="80" w:type="dxa"/>
              <w:bottom w:w="80" w:type="dxa"/>
              <w:left w:w="120" w:type="dxa"/>
              <w:right w:w="120" w:type="dxa"/>
            </w:tcMar>
          </w:tcPr>
          <w:p>
            <w:pPr>
              <w:jc w:val="left"/>
            </w:pPr>
            <w:r>
              <w:rPr>
                <w:b/>
                <w:color w:val="FFFFFF"/>
                <w:sz w:val="18"/>
              </w:rPr>
              <w:t>Student Name</w:t>
            </w:r>
          </w:p>
        </w:tc>
        <w:tc>
          <w:tcPr>
            <w:tcW w:type="dxa" w:w="3346"/>
            <w:shd w:fill="0F2A4A"/>
            <w:tcMar>
              <w:top w:w="80" w:type="dxa"/>
              <w:bottom w:w="80" w:type="dxa"/>
              <w:left w:w="120" w:type="dxa"/>
              <w:right w:w="120" w:type="dxa"/>
            </w:tcMar>
          </w:tcPr>
          <w:p>
            <w:pPr>
              <w:jc w:val="left"/>
            </w:pPr>
            <w:r>
              <w:rPr>
                <w:b/>
                <w:color w:val="FFFFFF"/>
                <w:sz w:val="18"/>
              </w:rPr>
              <w:t>Roll Number</w:t>
            </w:r>
          </w:p>
        </w:tc>
        <w:tc>
          <w:tcPr>
            <w:tcW w:type="dxa" w:w="3346"/>
            <w:shd w:fill="0F2A4A"/>
            <w:tcMar>
              <w:top w:w="80" w:type="dxa"/>
              <w:bottom w:w="80" w:type="dxa"/>
              <w:left w:w="120" w:type="dxa"/>
              <w:right w:w="120" w:type="dxa"/>
            </w:tcMar>
          </w:tcPr>
          <w:p>
            <w:pPr>
              <w:jc w:val="left"/>
            </w:pPr>
            <w:r>
              <w:rPr>
                <w:b/>
                <w:color w:val="FFFFFF"/>
                <w:sz w:val="18"/>
              </w:rPr>
              <w:t>Specialization &amp; Department</w:t>
            </w:r>
          </w:p>
        </w:tc>
      </w:tr>
      <w:tr>
        <w:tc>
          <w:tcPr>
            <w:tcW w:type="dxa" w:w="3346"/>
            <w:shd w:fill="FFFFFF"/>
            <w:tcMar>
              <w:top w:w="60" w:type="dxa"/>
              <w:bottom w:w="60" w:type="dxa"/>
              <w:left w:w="120" w:type="dxa"/>
              <w:right w:w="120" w:type="dxa"/>
            </w:tcMar>
          </w:tcPr>
          <w:p>
            <w:r>
              <w:rPr>
                <w:b/>
                <w:color w:val="1E232A"/>
                <w:sz w:val="17"/>
              </w:rPr>
              <w:t>Mhalsa Padmakumar</w:t>
            </w:r>
          </w:p>
        </w:tc>
        <w:tc>
          <w:tcPr>
            <w:tcW w:type="dxa" w:w="3346"/>
            <w:shd w:fill="FFFFFF"/>
            <w:tcMar>
              <w:top w:w="60" w:type="dxa"/>
              <w:bottom w:w="60" w:type="dxa"/>
              <w:left w:w="120" w:type="dxa"/>
              <w:right w:w="120" w:type="dxa"/>
            </w:tcMar>
          </w:tcPr>
          <w:p>
            <w:r>
              <w:rPr>
                <w:color w:val="1E232A"/>
                <w:sz w:val="17"/>
              </w:rPr>
              <w:t>CB.AI.U4AIM25052</w:t>
            </w:r>
          </w:p>
        </w:tc>
        <w:tc>
          <w:tcPr>
            <w:tcW w:type="dxa" w:w="3346"/>
            <w:shd w:fill="FFFFFF"/>
            <w:tcMar>
              <w:top w:w="60" w:type="dxa"/>
              <w:bottom w:w="60" w:type="dxa"/>
              <w:left w:w="120" w:type="dxa"/>
              <w:right w:w="120" w:type="dxa"/>
            </w:tcMar>
          </w:tcPr>
          <w:p>
            <w:r>
              <w:rPr>
                <w:color w:val="1E232A"/>
                <w:sz w:val="17"/>
              </w:rPr>
              <w:t>B.Tech Artificial Intelligence (Group 11)</w:t>
            </w:r>
          </w:p>
        </w:tc>
      </w:tr>
      <w:tr>
        <w:tc>
          <w:tcPr>
            <w:tcW w:type="dxa" w:w="3346"/>
            <w:shd w:fill="F4F7FB"/>
            <w:tcMar>
              <w:top w:w="60" w:type="dxa"/>
              <w:bottom w:w="60" w:type="dxa"/>
              <w:left w:w="120" w:type="dxa"/>
              <w:right w:w="120" w:type="dxa"/>
            </w:tcMar>
          </w:tcPr>
          <w:p>
            <w:r>
              <w:rPr>
                <w:b/>
                <w:color w:val="1E232A"/>
                <w:sz w:val="17"/>
              </w:rPr>
              <w:t>Shiza CKV</w:t>
            </w:r>
          </w:p>
        </w:tc>
        <w:tc>
          <w:tcPr>
            <w:tcW w:type="dxa" w:w="3346"/>
            <w:shd w:fill="F4F7FB"/>
            <w:tcMar>
              <w:top w:w="60" w:type="dxa"/>
              <w:bottom w:w="60" w:type="dxa"/>
              <w:left w:w="120" w:type="dxa"/>
              <w:right w:w="120" w:type="dxa"/>
            </w:tcMar>
          </w:tcPr>
          <w:p>
            <w:r>
              <w:rPr>
                <w:color w:val="1E232A"/>
                <w:sz w:val="17"/>
              </w:rPr>
              <w:t>CB.AI.U4AIM25037</w:t>
            </w:r>
          </w:p>
        </w:tc>
        <w:tc>
          <w:tcPr>
            <w:tcW w:type="dxa" w:w="3346"/>
            <w:shd w:fill="F4F7FB"/>
            <w:tcMar>
              <w:top w:w="60" w:type="dxa"/>
              <w:bottom w:w="60" w:type="dxa"/>
              <w:left w:w="120" w:type="dxa"/>
              <w:right w:w="120" w:type="dxa"/>
            </w:tcMar>
          </w:tcPr>
          <w:p>
            <w:r>
              <w:rPr>
                <w:color w:val="1E232A"/>
                <w:sz w:val="17"/>
              </w:rPr>
              <w:t>B.Tech Artificial Intelligence (Group 11)</w:t>
            </w:r>
          </w:p>
        </w:tc>
      </w:tr>
      <w:tr>
        <w:tc>
          <w:tcPr>
            <w:tcW w:type="dxa" w:w="3346"/>
            <w:shd w:fill="FFFFFF"/>
            <w:tcMar>
              <w:top w:w="60" w:type="dxa"/>
              <w:bottom w:w="60" w:type="dxa"/>
              <w:left w:w="120" w:type="dxa"/>
              <w:right w:w="120" w:type="dxa"/>
            </w:tcMar>
          </w:tcPr>
          <w:p>
            <w:r>
              <w:rPr>
                <w:b/>
                <w:color w:val="1E232A"/>
                <w:sz w:val="17"/>
              </w:rPr>
              <w:t>Anwaika Sanvi</w:t>
            </w:r>
          </w:p>
        </w:tc>
        <w:tc>
          <w:tcPr>
            <w:tcW w:type="dxa" w:w="3346"/>
            <w:shd w:fill="FFFFFF"/>
            <w:tcMar>
              <w:top w:w="60" w:type="dxa"/>
              <w:bottom w:w="60" w:type="dxa"/>
              <w:left w:w="120" w:type="dxa"/>
              <w:right w:w="120" w:type="dxa"/>
            </w:tcMar>
          </w:tcPr>
          <w:p>
            <w:r>
              <w:rPr>
                <w:color w:val="1E232A"/>
                <w:sz w:val="17"/>
              </w:rPr>
              <w:t>CB.AI.U4AIM25044</w:t>
            </w:r>
          </w:p>
        </w:tc>
        <w:tc>
          <w:tcPr>
            <w:tcW w:type="dxa" w:w="3346"/>
            <w:shd w:fill="FFFFFF"/>
            <w:tcMar>
              <w:top w:w="60" w:type="dxa"/>
              <w:bottom w:w="60" w:type="dxa"/>
              <w:left w:w="120" w:type="dxa"/>
              <w:right w:w="120" w:type="dxa"/>
            </w:tcMar>
          </w:tcPr>
          <w:p>
            <w:r>
              <w:rPr>
                <w:color w:val="1E232A"/>
                <w:sz w:val="17"/>
              </w:rPr>
              <w:t>B.Tech Artificial Intelligence (Group 11)</w:t>
            </w:r>
          </w:p>
        </w:tc>
      </w:tr>
      <w:tr>
        <w:tc>
          <w:tcPr>
            <w:tcW w:type="dxa" w:w="3346"/>
            <w:shd w:fill="F4F7FB"/>
            <w:tcMar>
              <w:top w:w="60" w:type="dxa"/>
              <w:bottom w:w="60" w:type="dxa"/>
              <w:left w:w="120" w:type="dxa"/>
              <w:right w:w="120" w:type="dxa"/>
            </w:tcMar>
          </w:tcPr>
          <w:p>
            <w:r>
              <w:rPr>
                <w:b/>
                <w:color w:val="1E232A"/>
                <w:sz w:val="17"/>
              </w:rPr>
              <w:t>Joshika</w:t>
            </w:r>
          </w:p>
        </w:tc>
        <w:tc>
          <w:tcPr>
            <w:tcW w:type="dxa" w:w="3346"/>
            <w:shd w:fill="F4F7FB"/>
            <w:tcMar>
              <w:top w:w="60" w:type="dxa"/>
              <w:bottom w:w="60" w:type="dxa"/>
              <w:left w:w="120" w:type="dxa"/>
              <w:right w:w="120" w:type="dxa"/>
            </w:tcMar>
          </w:tcPr>
          <w:p>
            <w:r>
              <w:rPr>
                <w:color w:val="1E232A"/>
                <w:sz w:val="17"/>
              </w:rPr>
              <w:t>CB.AI.U4AIM25014</w:t>
            </w:r>
          </w:p>
        </w:tc>
        <w:tc>
          <w:tcPr>
            <w:tcW w:type="dxa" w:w="3346"/>
            <w:shd w:fill="F4F7FB"/>
            <w:tcMar>
              <w:top w:w="60" w:type="dxa"/>
              <w:bottom w:w="60" w:type="dxa"/>
              <w:left w:w="120" w:type="dxa"/>
              <w:right w:w="120" w:type="dxa"/>
            </w:tcMar>
          </w:tcPr>
          <w:p>
            <w:r>
              <w:rPr>
                <w:color w:val="1E232A"/>
                <w:sz w:val="17"/>
              </w:rPr>
              <w:t>B.Tech Artificial Intelligence (Group 11)</w:t>
            </w:r>
          </w:p>
        </w:tc>
      </w:tr>
    </w:tbl>
    <w:p>
      <w:pPr>
        <w:spacing w:before="300" w:after="80" w:line="276" w:lineRule="auto"/>
        <w:jc w:val="left"/>
      </w:pPr>
      <w:r>
        <w:rPr>
          <w:rFonts w:ascii="Times New Roman" w:hAnsi="Times New Roman"/>
          <w:b w:val="0"/>
          <w:i w:val="0"/>
          <w:color w:val="1E232A"/>
          <w:sz w:val="20"/>
        </w:rPr>
      </w:r>
    </w:p>
    <w:p>
      <w:pPr>
        <w:spacing w:before="0" w:after="40" w:line="276" w:lineRule="auto"/>
        <w:jc w:val="center"/>
      </w:pPr>
      <w:r>
        <w:rPr>
          <w:rFonts w:ascii="Times New Roman" w:hAnsi="Times New Roman"/>
          <w:b/>
          <w:i w:val="0"/>
          <w:color w:val="646E7D"/>
          <w:sz w:val="20"/>
        </w:rPr>
        <w:t>Under the Esteemed Guidance of:</w:t>
      </w:r>
    </w:p>
    <w:p>
      <w:pPr>
        <w:spacing w:before="0" w:after="20" w:line="276" w:lineRule="auto"/>
        <w:jc w:val="center"/>
      </w:pPr>
      <w:r>
        <w:rPr>
          <w:rFonts w:ascii="Times New Roman" w:hAnsi="Times New Roman"/>
          <w:b/>
          <w:i w:val="0"/>
          <w:color w:val="0F2A4A"/>
          <w:sz w:val="24"/>
        </w:rPr>
        <w:t>Dr. Divya C</w:t>
      </w:r>
    </w:p>
    <w:p>
      <w:pPr>
        <w:spacing w:before="0" w:after="300" w:line="276" w:lineRule="auto"/>
        <w:jc w:val="center"/>
      </w:pPr>
      <w:r>
        <w:rPr>
          <w:rFonts w:ascii="Times New Roman" w:hAnsi="Times New Roman"/>
          <w:b w:val="0"/>
          <w:i/>
          <w:color w:val="3C4B5F"/>
          <w:sz w:val="19"/>
        </w:rPr>
        <w:t>Department of Artificial Intelligence, Amrita Vishwa Vidyapeetham</w:t>
      </w:r>
    </w:p>
    <w:p>
      <w:pPr>
        <w:spacing w:before="0" w:after="40" w:line="276" w:lineRule="auto"/>
        <w:jc w:val="center"/>
      </w:pPr>
      <w:r>
        <w:rPr>
          <w:rFonts w:ascii="Times New Roman" w:hAnsi="Times New Roman"/>
          <w:b/>
          <w:i w:val="0"/>
          <w:color w:val="646E7D"/>
          <w:sz w:val="18"/>
        </w:rPr>
        <w:t>Date of Submission: October 2026 · Academic Year 2025–2026</w:t>
      </w:r>
    </w:p>
    <w:p>
      <w:pPr>
        <w:spacing w:before="0" w:after="80" w:line="276" w:lineRule="auto"/>
        <w:jc w:val="center"/>
      </w:pPr>
      <w:r>
        <w:rPr>
          <w:rFonts w:ascii="Times New Roman" w:hAnsi="Times New Roman"/>
          <w:b w:val="0"/>
          <w:i w:val="0"/>
          <w:color w:val="335C8D"/>
          <w:sz w:val="17"/>
        </w:rPr>
        <w:t>Live Web Platform: https://sparsioq-platform.streamlit.app · GitHub: https://github.com/mhalsa-aine/SparsioQ-Platform.git</w:t>
      </w:r>
    </w:p>
    <w:p>
      <w:r>
        <w:br w:type="page"/>
      </w:r>
    </w:p>
    <w:p>
      <w:pPr>
        <w:spacing w:before="200" w:after="60" w:line="276" w:lineRule="auto"/>
        <w:jc w:val="left"/>
      </w:pPr>
      <w:r>
        <w:rPr>
          <w:rFonts w:ascii="Times New Roman" w:hAnsi="Times New Roman"/>
          <w:b/>
          <w:i w:val="0"/>
          <w:color w:val="0F2A4A"/>
          <w:sz w:val="25"/>
        </w:rPr>
        <w:t>Abstract</w:t>
      </w:r>
    </w:p>
    <w:p>
      <w:pPr>
        <w:spacing w:before="0" w:after="80" w:line="276" w:lineRule="auto"/>
        <w:jc w:val="left"/>
      </w:pPr>
      <w:r>
        <w:rPr>
          <w:rFonts w:ascii="Times New Roman" w:hAnsi="Times New Roman"/>
          <w:b w:val="0"/>
          <w:i w:val="0"/>
          <w:color w:val="1E232A"/>
          <w:sz w:val="19"/>
        </w:rPr>
        <w:t>Contemporary retail investment solutions are predominantly divided between passive robo-advisors offering static heuristic asset allocations and brokerage interfaces presenting uncurated, high-dimensional ticker feeds that induce choice paralysis and unquantified drawdown exposure. In this investigation, we introduce SparsioQ, a mathematically rigorous, end-to-end quantitative portfolio engineering and algorithmic wealth management platform engineered specifically for both retail novices and sophisticated institutional desks.</w:t>
      </w:r>
    </w:p>
    <w:p>
      <w:pPr>
        <w:spacing w:before="0" w:after="160" w:line="276" w:lineRule="auto"/>
        <w:jc w:val="left"/>
      </w:pPr>
      <w:r>
        <w:rPr>
          <w:rFonts w:ascii="Times New Roman" w:hAnsi="Times New Roman"/>
          <w:b w:val="0"/>
          <w:i w:val="0"/>
          <w:color w:val="1E232A"/>
          <w:sz w:val="19"/>
        </w:rPr>
        <w:t>SparsioQ formulates portfolio optimization as an L1-regularized sparse quadratic program solved via the interior-point Primal-Dual Karush-Kuhn-Tucker (KKT) solver (CVXOPT), automatically enforcing cardinal sparsity and zeroing out transaction drag. Market dynamics are governed by a 3-State Gaussian Hidden Markov Model (HMM) fitted with the Expectation-Maximization Baum-Welch algorithm, dynamically rotating capital between Bullish Low-Volatility, Neutral Chop, and Bearish High-Volatility crash regimes. High-order cross-asset interactions across the NIFTY 50 universe are disentangled via 3D Tensor Tucker Decomposition (Higher-Order SVD). For high-frequency non-linear tail-risk and derivative pricing, SparsioQ incorporates Quantum Amplitude Estimation (QAE), yielding a quadratic speedup of O(1/epsilon) over classical Monte Carlo O(1/epsilon^2). An integrated Multimodal LLM quantitative reasoning co-pilot translates complex mathematical artifacts into plain-language actionable financial directives, completely eliminating financial jargon while maintaining empirical precision.</w:t>
      </w:r>
    </w:p>
    <w:p>
      <w:pPr>
        <w:spacing w:before="0" w:after="240" w:line="276" w:lineRule="auto"/>
        <w:jc w:val="left"/>
      </w:pPr>
      <w:r>
        <w:rPr>
          <w:rFonts w:ascii="Times New Roman" w:hAnsi="Times New Roman"/>
          <w:b w:val="0"/>
          <w:i/>
          <w:color w:val="3C4B5F"/>
          <w:sz w:val="17"/>
        </w:rPr>
        <w:t>Keywords: Sparse Convex Optimization, L1 Regularization, CVXOPT Interior-Point Solver, Hidden Markov Models, Baum-Welch Algorithm, Quantum Amplitude Estimation, Higher-Order SVD, Value-at-Risk.</w:t>
      </w:r>
    </w:p>
    <w:p>
      <w:pPr>
        <w:spacing w:before="200" w:after="60" w:line="276" w:lineRule="auto"/>
        <w:jc w:val="left"/>
      </w:pPr>
      <w:r>
        <w:rPr>
          <w:rFonts w:ascii="Times New Roman" w:hAnsi="Times New Roman"/>
          <w:b/>
          <w:i w:val="0"/>
          <w:color w:val="0F2A4A"/>
          <w:sz w:val="25"/>
        </w:rPr>
        <w:t>Table of Contents</w:t>
      </w:r>
    </w:p>
    <w:tbl>
      <w:tblPr>
        <w:tblW w:type="auto" w:w="0"/>
        <w:jc w:val="center"/>
        <w:tblLook w:firstColumn="1" w:firstRow="1" w:lastColumn="0" w:lastRow="0" w:noHBand="0" w:noVBand="1" w:val="04A0"/>
        <w:tblBorders>
          <w:top w:val="single" w:sz="2" w:space="0" w:color="E0E0E0"/>
          <w:bottom w:val="single" w:sz="2" w:space="0" w:color="E0E0E0"/>
          <w:left w:val="none"/>
          <w:right w:val="none"/>
          <w:insideH w:val="single" w:sz="2" w:space="0" w:color="E0E0E0"/>
          <w:insideV w:val="none"/>
        </w:tblBorders>
      </w:tblPr>
      <w:tblGrid>
        <w:gridCol w:w="5018"/>
        <w:gridCol w:w="5018"/>
      </w:tblGrid>
      <w:tr>
        <w:tc>
          <w:tcPr>
            <w:tcW w:type="dxa" w:w="5018"/>
            <w:tcMar>
              <w:top w:w="20" w:type="dxa"/>
              <w:bottom w:w="20" w:type="dxa"/>
              <w:left w:w="40" w:type="dxa"/>
              <w:right w:w="40" w:type="dxa"/>
            </w:tcMar>
          </w:tcPr>
          <w:p>
            <w:r>
              <w:rPr>
                <w:b/>
                <w:sz w:val="17"/>
              </w:rPr>
              <w:t>1. Introduction &amp; Background</w:t>
            </w:r>
          </w:p>
        </w:tc>
        <w:tc>
          <w:tcPr>
            <w:tcW w:type="dxa" w:w="5018"/>
            <w:tcMar>
              <w:top w:w="20" w:type="dxa"/>
              <w:bottom w:w="20" w:type="dxa"/>
              <w:left w:w="40" w:type="dxa"/>
              <w:right w:w="40" w:type="dxa"/>
            </w:tcMar>
          </w:tcPr>
          <w:p>
            <w:pPr>
              <w:jc w:val="right"/>
            </w:pPr>
            <w:r>
              <w:rPr>
                <w:b/>
                <w:color w:val="0F2A4A"/>
                <w:sz w:val="17"/>
              </w:rPr>
              <w:t>Page 3</w:t>
            </w:r>
          </w:p>
        </w:tc>
      </w:tr>
      <w:tr>
        <w:tc>
          <w:tcPr>
            <w:tcW w:type="dxa" w:w="5018"/>
            <w:tcMar>
              <w:top w:w="20" w:type="dxa"/>
              <w:bottom w:w="20" w:type="dxa"/>
              <w:left w:w="40" w:type="dxa"/>
              <w:right w:w="40" w:type="dxa"/>
            </w:tcMar>
          </w:tcPr>
          <w:p>
            <w:r>
              <w:rPr>
                <w:b/>
                <w:sz w:val="17"/>
              </w:rPr>
              <w:t>2. Problem Statement &amp; Mathematical Motivation</w:t>
            </w:r>
          </w:p>
        </w:tc>
        <w:tc>
          <w:tcPr>
            <w:tcW w:type="dxa" w:w="5018"/>
            <w:tcMar>
              <w:top w:w="20" w:type="dxa"/>
              <w:bottom w:w="20" w:type="dxa"/>
              <w:left w:w="40" w:type="dxa"/>
              <w:right w:w="40" w:type="dxa"/>
            </w:tcMar>
          </w:tcPr>
          <w:p>
            <w:pPr>
              <w:jc w:val="right"/>
            </w:pPr>
            <w:r>
              <w:rPr>
                <w:b/>
                <w:color w:val="0F2A4A"/>
                <w:sz w:val="17"/>
              </w:rPr>
              <w:t>Page 3</w:t>
            </w:r>
          </w:p>
        </w:tc>
      </w:tr>
      <w:tr>
        <w:tc>
          <w:tcPr>
            <w:tcW w:type="dxa" w:w="5018"/>
            <w:tcMar>
              <w:top w:w="20" w:type="dxa"/>
              <w:bottom w:w="20" w:type="dxa"/>
              <w:left w:w="40" w:type="dxa"/>
              <w:right w:w="40" w:type="dxa"/>
            </w:tcMar>
          </w:tcPr>
          <w:p>
            <w:r>
              <w:rPr>
                <w:b/>
                <w:sz w:val="17"/>
              </w:rPr>
              <w:t>3. Project Objectives &amp; Core Deliverables</w:t>
            </w:r>
          </w:p>
        </w:tc>
        <w:tc>
          <w:tcPr>
            <w:tcW w:type="dxa" w:w="5018"/>
            <w:tcMar>
              <w:top w:w="20" w:type="dxa"/>
              <w:bottom w:w="20" w:type="dxa"/>
              <w:left w:w="40" w:type="dxa"/>
              <w:right w:w="40" w:type="dxa"/>
            </w:tcMar>
          </w:tcPr>
          <w:p>
            <w:pPr>
              <w:jc w:val="right"/>
            </w:pPr>
            <w:r>
              <w:rPr>
                <w:b/>
                <w:color w:val="0F2A4A"/>
                <w:sz w:val="17"/>
              </w:rPr>
              <w:t>Page 3</w:t>
            </w:r>
          </w:p>
        </w:tc>
      </w:tr>
      <w:tr>
        <w:tc>
          <w:tcPr>
            <w:tcW w:type="dxa" w:w="5018"/>
            <w:tcMar>
              <w:top w:w="20" w:type="dxa"/>
              <w:bottom w:w="20" w:type="dxa"/>
              <w:left w:w="40" w:type="dxa"/>
              <w:right w:w="40" w:type="dxa"/>
            </w:tcMar>
          </w:tcPr>
          <w:p>
            <w:r>
              <w:rPr>
                <w:b/>
                <w:sz w:val="17"/>
              </w:rPr>
              <w:t>4. Existing Systems vs. Proposed SparsioQ Architecture</w:t>
            </w:r>
          </w:p>
        </w:tc>
        <w:tc>
          <w:tcPr>
            <w:tcW w:type="dxa" w:w="5018"/>
            <w:tcMar>
              <w:top w:w="20" w:type="dxa"/>
              <w:bottom w:w="20" w:type="dxa"/>
              <w:left w:w="40" w:type="dxa"/>
              <w:right w:w="40" w:type="dxa"/>
            </w:tcMar>
          </w:tcPr>
          <w:p>
            <w:pPr>
              <w:jc w:val="right"/>
            </w:pPr>
            <w:r>
              <w:rPr>
                <w:b/>
                <w:color w:val="0F2A4A"/>
                <w:sz w:val="17"/>
              </w:rPr>
              <w:t>Page 3</w:t>
            </w:r>
          </w:p>
        </w:tc>
      </w:tr>
      <w:tr>
        <w:tc>
          <w:tcPr>
            <w:tcW w:type="dxa" w:w="5018"/>
            <w:tcMar>
              <w:top w:w="20" w:type="dxa"/>
              <w:bottom w:w="20" w:type="dxa"/>
              <w:left w:w="40" w:type="dxa"/>
              <w:right w:w="40" w:type="dxa"/>
            </w:tcMar>
          </w:tcPr>
          <w:p>
            <w:r>
              <w:rPr>
                <w:b/>
                <w:sz w:val="17"/>
              </w:rPr>
              <w:t>5. Mathematical Foundations &amp; Theoretical Formulations</w:t>
            </w:r>
          </w:p>
        </w:tc>
        <w:tc>
          <w:tcPr>
            <w:tcW w:type="dxa" w:w="5018"/>
            <w:tcMar>
              <w:top w:w="20" w:type="dxa"/>
              <w:bottom w:w="20" w:type="dxa"/>
              <w:left w:w="40" w:type="dxa"/>
              <w:right w:w="40" w:type="dxa"/>
            </w:tcMar>
          </w:tcPr>
          <w:p>
            <w:pPr>
              <w:jc w:val="right"/>
            </w:pPr>
            <w:r>
              <w:rPr>
                <w:b/>
                <w:color w:val="0F2A4A"/>
                <w:sz w:val="17"/>
              </w:rPr>
              <w:t>Page 5</w:t>
            </w:r>
          </w:p>
        </w:tc>
      </w:tr>
      <w:tr>
        <w:tc>
          <w:tcPr>
            <w:tcW w:type="dxa" w:w="5018"/>
            <w:tcMar>
              <w:top w:w="20" w:type="dxa"/>
              <w:bottom w:w="20" w:type="dxa"/>
              <w:left w:w="40" w:type="dxa"/>
              <w:right w:w="40" w:type="dxa"/>
            </w:tcMar>
          </w:tcPr>
          <w:p>
            <w:r>
              <w:rPr>
                <w:sz w:val="17"/>
              </w:rPr>
              <w:t xml:space="preserve">   5.1 L1-Regularized Sparse Markowitz Convex Optimization</w:t>
            </w:r>
          </w:p>
        </w:tc>
        <w:tc>
          <w:tcPr>
            <w:tcW w:type="dxa" w:w="5018"/>
            <w:tcMar>
              <w:top w:w="20" w:type="dxa"/>
              <w:bottom w:w="20" w:type="dxa"/>
              <w:left w:w="40" w:type="dxa"/>
              <w:right w:w="40" w:type="dxa"/>
            </w:tcMar>
          </w:tcPr>
          <w:p>
            <w:pPr>
              <w:jc w:val="right"/>
            </w:pPr>
            <w:r>
              <w:rPr>
                <w:b/>
                <w:color w:val="0F2A4A"/>
                <w:sz w:val="17"/>
              </w:rPr>
              <w:t>Page 5</w:t>
            </w:r>
          </w:p>
        </w:tc>
      </w:tr>
      <w:tr>
        <w:tc>
          <w:tcPr>
            <w:tcW w:type="dxa" w:w="5018"/>
            <w:tcMar>
              <w:top w:w="20" w:type="dxa"/>
              <w:bottom w:w="20" w:type="dxa"/>
              <w:left w:w="40" w:type="dxa"/>
              <w:right w:w="40" w:type="dxa"/>
            </w:tcMar>
          </w:tcPr>
          <w:p>
            <w:r>
              <w:rPr>
                <w:sz w:val="17"/>
              </w:rPr>
              <w:t xml:space="preserve">   5.2 3-State Gaussian Hidden Markov Model Regime Identification</w:t>
            </w:r>
          </w:p>
        </w:tc>
        <w:tc>
          <w:tcPr>
            <w:tcW w:type="dxa" w:w="5018"/>
            <w:tcMar>
              <w:top w:w="20" w:type="dxa"/>
              <w:bottom w:w="20" w:type="dxa"/>
              <w:left w:w="40" w:type="dxa"/>
              <w:right w:w="40" w:type="dxa"/>
            </w:tcMar>
          </w:tcPr>
          <w:p>
            <w:pPr>
              <w:jc w:val="right"/>
            </w:pPr>
            <w:r>
              <w:rPr>
                <w:b/>
                <w:color w:val="0F2A4A"/>
                <w:sz w:val="17"/>
              </w:rPr>
              <w:t>Page 5</w:t>
            </w:r>
          </w:p>
        </w:tc>
      </w:tr>
      <w:tr>
        <w:tc>
          <w:tcPr>
            <w:tcW w:type="dxa" w:w="5018"/>
            <w:tcMar>
              <w:top w:w="20" w:type="dxa"/>
              <w:bottom w:w="20" w:type="dxa"/>
              <w:left w:w="40" w:type="dxa"/>
              <w:right w:w="40" w:type="dxa"/>
            </w:tcMar>
          </w:tcPr>
          <w:p>
            <w:r>
              <w:rPr>
                <w:sz w:val="17"/>
              </w:rPr>
              <w:t xml:space="preserve">   5.3 Analytical Black-Scholes Formula &amp; Sensitivities (Greeks)</w:t>
            </w:r>
          </w:p>
        </w:tc>
        <w:tc>
          <w:tcPr>
            <w:tcW w:type="dxa" w:w="5018"/>
            <w:tcMar>
              <w:top w:w="20" w:type="dxa"/>
              <w:bottom w:w="20" w:type="dxa"/>
              <w:left w:w="40" w:type="dxa"/>
              <w:right w:w="40" w:type="dxa"/>
            </w:tcMar>
          </w:tcPr>
          <w:p>
            <w:pPr>
              <w:jc w:val="right"/>
            </w:pPr>
            <w:r>
              <w:rPr>
                <w:b/>
                <w:color w:val="0F2A4A"/>
                <w:sz w:val="17"/>
              </w:rPr>
              <w:t>Page 5</w:t>
            </w:r>
          </w:p>
        </w:tc>
      </w:tr>
      <w:tr>
        <w:tc>
          <w:tcPr>
            <w:tcW w:type="dxa" w:w="5018"/>
            <w:tcMar>
              <w:top w:w="20" w:type="dxa"/>
              <w:bottom w:w="20" w:type="dxa"/>
              <w:left w:w="40" w:type="dxa"/>
              <w:right w:w="40" w:type="dxa"/>
            </w:tcMar>
          </w:tcPr>
          <w:p>
            <w:r>
              <w:rPr>
                <w:sz w:val="17"/>
              </w:rPr>
              <w:t xml:space="preserve">   5.4 Quantum Amplitude Estimation (QAE) for Risk Quantification</w:t>
            </w:r>
          </w:p>
        </w:tc>
        <w:tc>
          <w:tcPr>
            <w:tcW w:type="dxa" w:w="5018"/>
            <w:tcMar>
              <w:top w:w="20" w:type="dxa"/>
              <w:bottom w:w="20" w:type="dxa"/>
              <w:left w:w="40" w:type="dxa"/>
              <w:right w:w="40" w:type="dxa"/>
            </w:tcMar>
          </w:tcPr>
          <w:p>
            <w:pPr>
              <w:jc w:val="right"/>
            </w:pPr>
            <w:r>
              <w:rPr>
                <w:b/>
                <w:color w:val="0F2A4A"/>
                <w:sz w:val="17"/>
              </w:rPr>
              <w:t>Page 5</w:t>
            </w:r>
          </w:p>
        </w:tc>
      </w:tr>
      <w:tr>
        <w:tc>
          <w:tcPr>
            <w:tcW w:type="dxa" w:w="5018"/>
            <w:tcMar>
              <w:top w:w="20" w:type="dxa"/>
              <w:bottom w:w="20" w:type="dxa"/>
              <w:left w:w="40" w:type="dxa"/>
              <w:right w:w="40" w:type="dxa"/>
            </w:tcMar>
          </w:tcPr>
          <w:p>
            <w:r>
              <w:rPr>
                <w:sz w:val="17"/>
              </w:rPr>
              <w:t xml:space="preserve">   5.5 3D Tensor Tucker Decomposition (Higher-Order SVD)</w:t>
            </w:r>
          </w:p>
        </w:tc>
        <w:tc>
          <w:tcPr>
            <w:tcW w:type="dxa" w:w="5018"/>
            <w:tcMar>
              <w:top w:w="20" w:type="dxa"/>
              <w:bottom w:w="20" w:type="dxa"/>
              <w:left w:w="40" w:type="dxa"/>
              <w:right w:w="40" w:type="dxa"/>
            </w:tcMar>
          </w:tcPr>
          <w:p>
            <w:pPr>
              <w:jc w:val="right"/>
            </w:pPr>
            <w:r>
              <w:rPr>
                <w:b/>
                <w:color w:val="0F2A4A"/>
                <w:sz w:val="17"/>
              </w:rPr>
              <w:t>Page 6</w:t>
            </w:r>
          </w:p>
        </w:tc>
      </w:tr>
      <w:tr>
        <w:tc>
          <w:tcPr>
            <w:tcW w:type="dxa" w:w="5018"/>
            <w:tcMar>
              <w:top w:w="20" w:type="dxa"/>
              <w:bottom w:w="20" w:type="dxa"/>
              <w:left w:w="40" w:type="dxa"/>
              <w:right w:w="40" w:type="dxa"/>
            </w:tcMar>
          </w:tcPr>
          <w:p>
            <w:r>
              <w:rPr>
                <w:b/>
                <w:sz w:val="17"/>
              </w:rPr>
              <w:t>6. Methodology &amp; System Architecture</w:t>
            </w:r>
          </w:p>
        </w:tc>
        <w:tc>
          <w:tcPr>
            <w:tcW w:type="dxa" w:w="5018"/>
            <w:tcMar>
              <w:top w:w="20" w:type="dxa"/>
              <w:bottom w:w="20" w:type="dxa"/>
              <w:left w:w="40" w:type="dxa"/>
              <w:right w:w="40" w:type="dxa"/>
            </w:tcMar>
          </w:tcPr>
          <w:p>
            <w:pPr>
              <w:jc w:val="right"/>
            </w:pPr>
            <w:r>
              <w:rPr>
                <w:b/>
                <w:color w:val="0F2A4A"/>
                <w:sz w:val="17"/>
              </w:rPr>
              <w:t>Page 6</w:t>
            </w:r>
          </w:p>
        </w:tc>
      </w:tr>
      <w:tr>
        <w:tc>
          <w:tcPr>
            <w:tcW w:type="dxa" w:w="5018"/>
            <w:tcMar>
              <w:top w:w="20" w:type="dxa"/>
              <w:bottom w:w="20" w:type="dxa"/>
              <w:left w:w="40" w:type="dxa"/>
              <w:right w:w="40" w:type="dxa"/>
            </w:tcMar>
          </w:tcPr>
          <w:p>
            <w:r>
              <w:rPr>
                <w:b/>
                <w:sz w:val="17"/>
              </w:rPr>
              <w:t>7. Implementation &amp; System Design</w:t>
            </w:r>
          </w:p>
        </w:tc>
        <w:tc>
          <w:tcPr>
            <w:tcW w:type="dxa" w:w="5018"/>
            <w:tcMar>
              <w:top w:w="20" w:type="dxa"/>
              <w:bottom w:w="20" w:type="dxa"/>
              <w:left w:w="40" w:type="dxa"/>
              <w:right w:w="40" w:type="dxa"/>
            </w:tcMar>
          </w:tcPr>
          <w:p>
            <w:pPr>
              <w:jc w:val="right"/>
            </w:pPr>
            <w:r>
              <w:rPr>
                <w:b/>
                <w:color w:val="0F2A4A"/>
                <w:sz w:val="17"/>
              </w:rPr>
              <w:t>Page 6</w:t>
            </w:r>
          </w:p>
        </w:tc>
      </w:tr>
      <w:tr>
        <w:tc>
          <w:tcPr>
            <w:tcW w:type="dxa" w:w="5018"/>
            <w:tcMar>
              <w:top w:w="20" w:type="dxa"/>
              <w:bottom w:w="20" w:type="dxa"/>
              <w:left w:w="40" w:type="dxa"/>
              <w:right w:w="40" w:type="dxa"/>
            </w:tcMar>
          </w:tcPr>
          <w:p>
            <w:r>
              <w:rPr>
                <w:b/>
                <w:sz w:val="17"/>
              </w:rPr>
              <w:t>8. Experimental Results, Empirical Verification &amp; Discussion</w:t>
            </w:r>
          </w:p>
        </w:tc>
        <w:tc>
          <w:tcPr>
            <w:tcW w:type="dxa" w:w="5018"/>
            <w:tcMar>
              <w:top w:w="20" w:type="dxa"/>
              <w:bottom w:w="20" w:type="dxa"/>
              <w:left w:w="40" w:type="dxa"/>
              <w:right w:w="40" w:type="dxa"/>
            </w:tcMar>
          </w:tcPr>
          <w:p>
            <w:pPr>
              <w:jc w:val="right"/>
            </w:pPr>
            <w:r>
              <w:rPr>
                <w:b/>
                <w:color w:val="0F2A4A"/>
                <w:sz w:val="17"/>
              </w:rPr>
              <w:t>Page 8</w:t>
            </w:r>
          </w:p>
        </w:tc>
      </w:tr>
      <w:tr>
        <w:tc>
          <w:tcPr>
            <w:tcW w:type="dxa" w:w="5018"/>
            <w:tcMar>
              <w:top w:w="20" w:type="dxa"/>
              <w:bottom w:w="20" w:type="dxa"/>
              <w:left w:w="40" w:type="dxa"/>
              <w:right w:w="40" w:type="dxa"/>
            </w:tcMar>
          </w:tcPr>
          <w:p>
            <w:r>
              <w:rPr>
                <w:b/>
                <w:sz w:val="17"/>
              </w:rPr>
              <w:t>9. Challenges, Limitations &amp; Future Trajectories</w:t>
            </w:r>
          </w:p>
        </w:tc>
        <w:tc>
          <w:tcPr>
            <w:tcW w:type="dxa" w:w="5018"/>
            <w:tcMar>
              <w:top w:w="20" w:type="dxa"/>
              <w:bottom w:w="20" w:type="dxa"/>
              <w:left w:w="40" w:type="dxa"/>
              <w:right w:w="40" w:type="dxa"/>
            </w:tcMar>
          </w:tcPr>
          <w:p>
            <w:pPr>
              <w:jc w:val="right"/>
            </w:pPr>
            <w:r>
              <w:rPr>
                <w:b/>
                <w:color w:val="0F2A4A"/>
                <w:sz w:val="17"/>
              </w:rPr>
              <w:t>Page 10</w:t>
            </w:r>
          </w:p>
        </w:tc>
      </w:tr>
      <w:tr>
        <w:tc>
          <w:tcPr>
            <w:tcW w:type="dxa" w:w="5018"/>
            <w:tcMar>
              <w:top w:w="20" w:type="dxa"/>
              <w:bottom w:w="20" w:type="dxa"/>
              <w:left w:w="40" w:type="dxa"/>
              <w:right w:w="40" w:type="dxa"/>
            </w:tcMar>
          </w:tcPr>
          <w:p>
            <w:r>
              <w:rPr>
                <w:b/>
                <w:sz w:val="17"/>
              </w:rPr>
              <w:t>10. Conclusion</w:t>
            </w:r>
          </w:p>
        </w:tc>
        <w:tc>
          <w:tcPr>
            <w:tcW w:type="dxa" w:w="5018"/>
            <w:tcMar>
              <w:top w:w="20" w:type="dxa"/>
              <w:bottom w:w="20" w:type="dxa"/>
              <w:left w:w="40" w:type="dxa"/>
              <w:right w:w="40" w:type="dxa"/>
            </w:tcMar>
          </w:tcPr>
          <w:p>
            <w:pPr>
              <w:jc w:val="right"/>
            </w:pPr>
            <w:r>
              <w:rPr>
                <w:b/>
                <w:color w:val="0F2A4A"/>
                <w:sz w:val="17"/>
              </w:rPr>
              <w:t>Page 10</w:t>
            </w:r>
          </w:p>
        </w:tc>
      </w:tr>
      <w:tr>
        <w:tc>
          <w:tcPr>
            <w:tcW w:type="dxa" w:w="5018"/>
            <w:tcMar>
              <w:top w:w="20" w:type="dxa"/>
              <w:bottom w:w="20" w:type="dxa"/>
              <w:left w:w="40" w:type="dxa"/>
              <w:right w:w="40" w:type="dxa"/>
            </w:tcMar>
          </w:tcPr>
          <w:p>
            <w:r>
              <w:rPr>
                <w:b/>
                <w:sz w:val="17"/>
              </w:rPr>
              <w:t>References [1] – [12]</w:t>
            </w:r>
          </w:p>
        </w:tc>
        <w:tc>
          <w:tcPr>
            <w:tcW w:type="dxa" w:w="5018"/>
            <w:tcMar>
              <w:top w:w="20" w:type="dxa"/>
              <w:bottom w:w="20" w:type="dxa"/>
              <w:left w:w="40" w:type="dxa"/>
              <w:right w:w="40" w:type="dxa"/>
            </w:tcMar>
          </w:tcPr>
          <w:p>
            <w:pPr>
              <w:jc w:val="right"/>
            </w:pPr>
            <w:r>
              <w:rPr>
                <w:b/>
                <w:color w:val="0F2A4A"/>
                <w:sz w:val="17"/>
              </w:rPr>
              <w:t>Page 10</w:t>
            </w:r>
          </w:p>
        </w:tc>
      </w:tr>
      <w:tr>
        <w:tc>
          <w:tcPr>
            <w:tcW w:type="dxa" w:w="5018"/>
            <w:tcMar>
              <w:top w:w="20" w:type="dxa"/>
              <w:bottom w:w="20" w:type="dxa"/>
              <w:left w:w="40" w:type="dxa"/>
              <w:right w:w="40" w:type="dxa"/>
            </w:tcMar>
          </w:tcPr>
          <w:p>
            <w:r>
              <w:rPr>
                <w:b/>
                <w:sz w:val="17"/>
              </w:rPr>
              <w:t>Appendix A: Complete 25-Asset Portfolio Holdings &amp; Allocation Snapshot</w:t>
            </w:r>
          </w:p>
        </w:tc>
        <w:tc>
          <w:tcPr>
            <w:tcW w:type="dxa" w:w="5018"/>
            <w:tcMar>
              <w:top w:w="20" w:type="dxa"/>
              <w:bottom w:w="20" w:type="dxa"/>
              <w:left w:w="40" w:type="dxa"/>
              <w:right w:w="40" w:type="dxa"/>
            </w:tcMar>
          </w:tcPr>
          <w:p>
            <w:pPr>
              <w:jc w:val="right"/>
            </w:pPr>
            <w:r>
              <w:rPr>
                <w:b/>
                <w:color w:val="0F2A4A"/>
                <w:sz w:val="17"/>
              </w:rPr>
              <w:t>Page 11</w:t>
            </w:r>
          </w:p>
        </w:tc>
      </w:tr>
    </w:tbl>
    <w:p>
      <w:pPr>
        <w:spacing w:before="160" w:after="80" w:line="276" w:lineRule="auto"/>
        <w:jc w:val="left"/>
      </w:pPr>
      <w:r>
        <w:rPr>
          <w:rFonts w:ascii="Times New Roman" w:hAnsi="Times New Roman"/>
          <w:b w:val="0"/>
          <w:i w:val="0"/>
          <w:color w:val="1E232A"/>
          <w:sz w:val="20"/>
        </w:rPr>
      </w:r>
    </w:p>
    <w:p>
      <w:pPr>
        <w:spacing w:before="200" w:after="60" w:line="276" w:lineRule="auto"/>
        <w:jc w:val="left"/>
      </w:pPr>
      <w:r>
        <w:rPr>
          <w:rFonts w:ascii="Times New Roman" w:hAnsi="Times New Roman"/>
          <w:b/>
          <w:i w:val="0"/>
          <w:color w:val="0F2A4A"/>
          <w:sz w:val="25"/>
        </w:rPr>
        <w:t>Acknowledgement</w:t>
      </w:r>
    </w:p>
    <w:p>
      <w:pPr>
        <w:spacing w:before="0" w:after="80" w:line="276" w:lineRule="auto"/>
        <w:jc w:val="left"/>
      </w:pPr>
      <w:r>
        <w:rPr>
          <w:rFonts w:ascii="Times New Roman" w:hAnsi="Times New Roman"/>
          <w:b w:val="0"/>
          <w:i/>
          <w:color w:val="1E232A"/>
          <w:sz w:val="17"/>
        </w:rPr>
        <w:t>We express our profound gratitude to our project mentor, Dr. Divya C, Department of Artificial Intelligence, Amrita Vishwa Vidyapeetham, Coimbatore, for her continuous intellectual direction, incisive critique, and mathematical mentorship throughout the formulation of this research project. We also convey our sincere thanks to the Department of Artificial Intelligence and the Exam Cell for providing the computational infrastructure, academic freedom, and high-performance resources necessary to complete this project.</w:t>
      </w:r>
    </w:p>
    <w:p>
      <w:r>
        <w:br w:type="page"/>
      </w:r>
    </w:p>
    <w:p>
      <w:pPr>
        <w:spacing w:before="200" w:after="60" w:line="276" w:lineRule="auto"/>
        <w:jc w:val="left"/>
      </w:pPr>
      <w:r>
        <w:rPr>
          <w:rFonts w:ascii="Times New Roman" w:hAnsi="Times New Roman"/>
          <w:b/>
          <w:i w:val="0"/>
          <w:color w:val="0F2A4A"/>
          <w:sz w:val="25"/>
        </w:rPr>
        <w:t>1. Introduction</w:t>
      </w:r>
    </w:p>
    <w:p>
      <w:pPr>
        <w:spacing w:before="0" w:after="80" w:line="276" w:lineRule="auto"/>
        <w:jc w:val="left"/>
      </w:pPr>
      <w:r>
        <w:rPr>
          <w:rFonts w:ascii="Times New Roman" w:hAnsi="Times New Roman"/>
          <w:b w:val="0"/>
          <w:i w:val="0"/>
          <w:color w:val="1E232A"/>
          <w:sz w:val="19"/>
        </w:rPr>
        <w:t>The modern retail financial ecosystem presents an acute paradox: while retail market participation across the National Stock Exchange (NSE) has surged over 400% since 2020, over 93% of active retail traders incur persistent capital losses (SEBI Study, 2024). The root cause lies in the severe dichotomy between existing commercial tooling. Mainstream discount brokerages (e.g., Zerodha Kite, Groww, Angel One) function as transactional conduits, presenting raw candlestick charts and speculative derivatives without native risk constraints or convex optimization. Conversely, automated robo-advisors (e.g., Scripbox, Wealthfront) rely on static mean-variance allocations that fail catastrophically during non-stationary regime transitions, exhibiting massive tail-risk drawdowns.</w:t>
      </w:r>
    </w:p>
    <w:p>
      <w:pPr>
        <w:spacing w:before="0" w:after="120" w:line="276" w:lineRule="auto"/>
        <w:jc w:val="left"/>
      </w:pPr>
      <w:r>
        <w:rPr>
          <w:rFonts w:ascii="Times New Roman" w:hAnsi="Times New Roman"/>
          <w:b w:val="0"/>
          <w:i w:val="0"/>
          <w:color w:val="1E232A"/>
          <w:sz w:val="19"/>
        </w:rPr>
        <w:t>SparsioQ resolves this foundational limitation by engineering an autonomous, mathematically optimal, enterprise-grade algorithmic investment platform. Powered by real-time streaming market data across the NIFTY 50 universe, SparsioQ integrates L1-regularized sparse portfolio selection, continuous-time regime-switching hidden Markov processes, quantum-accelerated value-at-risk estimation, and tensor factorizations into an intuitive, zero-jargon interactive interface.</w:t>
      </w:r>
    </w:p>
    <w:p>
      <w:pPr>
        <w:spacing w:before="200" w:after="60" w:line="276" w:lineRule="auto"/>
        <w:jc w:val="left"/>
      </w:pPr>
      <w:r>
        <w:rPr>
          <w:rFonts w:ascii="Times New Roman" w:hAnsi="Times New Roman"/>
          <w:b/>
          <w:i w:val="0"/>
          <w:color w:val="0F2A4A"/>
          <w:sz w:val="25"/>
        </w:rPr>
        <w:t>2. Problem Statement &amp; Mathematical Motivation</w:t>
      </w:r>
    </w:p>
    <w:p>
      <w:pPr>
        <w:spacing w:before="0" w:after="80" w:line="276" w:lineRule="auto"/>
        <w:jc w:val="left"/>
      </w:pPr>
      <w:r>
        <w:rPr>
          <w:rFonts w:ascii="Times New Roman" w:hAnsi="Times New Roman"/>
          <w:b w:val="0"/>
          <w:i w:val="0"/>
          <w:color w:val="1E232A"/>
          <w:sz w:val="19"/>
        </w:rPr>
        <w:t>Standard Modern Portfolio Theory (Markowitz, 1952) computes the optimal asset allocation vector w by minimizing variance w^T Sigma w subject to a target return. However, empirical sample covariance matrices Sigma are ill-conditioned and contaminated by noise, leading to extreme out-of-sample instability and non-zero allocations across hundreds of assets. In retail contexts, holding 50+ micro-positions creates prohibitive transaction costs, rebalancing drag, and execution friction.</w:t>
      </w:r>
    </w:p>
    <w:p>
      <w:pPr>
        <w:spacing w:before="0" w:after="120" w:line="276" w:lineRule="auto"/>
        <w:jc w:val="left"/>
      </w:pPr>
      <w:r>
        <w:rPr>
          <w:rFonts w:ascii="Times New Roman" w:hAnsi="Times New Roman"/>
          <w:b w:val="0"/>
          <w:i w:val="0"/>
          <w:color w:val="1E232A"/>
          <w:sz w:val="19"/>
        </w:rPr>
        <w:t>Furthermore, real-world asset returns exhibit heavy non-Gaussian tails, fat kurtosis, volatility clustering, and sudden regime shifts that violate classical Brownian motion assumptions. Traditional Monte Carlo simulations require O(1/epsilon^2) samples to converge, rendering high-frequency retail value-at-risk evaluation computationally infeasible. An end-to-end mathematical platform must solve: (1) exact sparsity promotion without combinatorial brute force, (2) non-stationary regime identification, and (3) real-time quadratic-speedup risk estimation.</w:t>
      </w:r>
    </w:p>
    <w:p>
      <w:pPr>
        <w:spacing w:before="200" w:after="60" w:line="276" w:lineRule="auto"/>
        <w:jc w:val="left"/>
      </w:pPr>
      <w:r>
        <w:rPr>
          <w:rFonts w:ascii="Times New Roman" w:hAnsi="Times New Roman"/>
          <w:b/>
          <w:i w:val="0"/>
          <w:color w:val="0F2A4A"/>
          <w:sz w:val="25"/>
        </w:rPr>
        <w:t>3. Objectives &amp; Core Deliverables</w:t>
      </w:r>
    </w:p>
    <w:p>
      <w:pPr>
        <w:pStyle w:val="ListBullet"/>
        <w:spacing w:before="20" w:after="40" w:line="276" w:lineRule="auto"/>
      </w:pPr>
      <w:r>
        <w:rPr>
          <w:rFonts w:ascii="Times New Roman" w:hAnsi="Times New Roman"/>
          <w:b/>
          <w:color w:val="0F2A4A"/>
          <w:sz w:val="19"/>
        </w:rPr>
        <w:t>Exact Sparse Optimization:</w:t>
      </w:r>
      <w:r>
        <w:rPr>
          <w:rFonts w:ascii="Times New Roman" w:hAnsi="Times New Roman"/>
          <w:color w:val="282D32"/>
          <w:sz w:val="19"/>
        </w:rPr>
        <w:t xml:space="preserve"> Formulate and solve an L1-regularized convex portfolio problem using CVXOPT Primal-Dual Interior-Point methods, generating sparse portfolios of exactly 5–10 high-conviction assets.</w:t>
      </w:r>
    </w:p>
    <w:p>
      <w:pPr>
        <w:pStyle w:val="ListBullet"/>
        <w:spacing w:before="20" w:after="40" w:line="276" w:lineRule="auto"/>
      </w:pPr>
      <w:r>
        <w:rPr>
          <w:rFonts w:ascii="Times New Roman" w:hAnsi="Times New Roman"/>
          <w:b/>
          <w:color w:val="0F2A4A"/>
          <w:sz w:val="19"/>
        </w:rPr>
        <w:t>Regime Shift Adaptation:</w:t>
      </w:r>
      <w:r>
        <w:rPr>
          <w:rFonts w:ascii="Times New Roman" w:hAnsi="Times New Roman"/>
          <w:color w:val="282D32"/>
          <w:sz w:val="19"/>
        </w:rPr>
        <w:t xml:space="preserve"> Implement an unsupervised 3-State Gaussian Hidden Markov Model (HMM) via the Baum-Welch Expectation-Maximization algorithm to dynamically shift portfolio delta and cash hedges.</w:t>
      </w:r>
    </w:p>
    <w:p>
      <w:pPr>
        <w:pStyle w:val="ListBullet"/>
        <w:spacing w:before="20" w:after="40" w:line="276" w:lineRule="auto"/>
      </w:pPr>
      <w:r>
        <w:rPr>
          <w:rFonts w:ascii="Times New Roman" w:hAnsi="Times New Roman"/>
          <w:b/>
          <w:color w:val="0F2A4A"/>
          <w:sz w:val="19"/>
        </w:rPr>
        <w:t>Quantum Risk Acceleration:</w:t>
      </w:r>
      <w:r>
        <w:rPr>
          <w:rFonts w:ascii="Times New Roman" w:hAnsi="Times New Roman"/>
          <w:color w:val="282D32"/>
          <w:sz w:val="19"/>
        </w:rPr>
        <w:t xml:space="preserve"> Formulate Quantum Amplitude Estimation (QAE) circuits providing an O(1/epsilon) quadratic speedup over classical Monte Carlo methods for Value-at-Risk (VaR) and Expected Shortfall (ES).</w:t>
      </w:r>
    </w:p>
    <w:p>
      <w:pPr>
        <w:pStyle w:val="ListBullet"/>
        <w:spacing w:before="20" w:after="40" w:line="276" w:lineRule="auto"/>
      </w:pPr>
      <w:r>
        <w:rPr>
          <w:rFonts w:ascii="Times New Roman" w:hAnsi="Times New Roman"/>
          <w:b/>
          <w:color w:val="0F2A4A"/>
          <w:sz w:val="19"/>
        </w:rPr>
        <w:t>Multidimensional Tensor Decomposition:</w:t>
      </w:r>
      <w:r>
        <w:rPr>
          <w:rFonts w:ascii="Times New Roman" w:hAnsi="Times New Roman"/>
          <w:color w:val="282D32"/>
          <w:sz w:val="19"/>
        </w:rPr>
        <w:t xml:space="preserve"> Deploy Higher-Order Singular Value Decomposition (Tucker Decomposition) to extract latent market modes across the asset x feature x time tensor.</w:t>
      </w:r>
    </w:p>
    <w:p>
      <w:pPr>
        <w:pStyle w:val="ListBullet"/>
        <w:spacing w:before="20" w:after="40" w:line="276" w:lineRule="auto"/>
      </w:pPr>
      <w:r>
        <w:rPr>
          <w:rFonts w:ascii="Times New Roman" w:hAnsi="Times New Roman"/>
          <w:b/>
          <w:color w:val="0F2A4A"/>
          <w:sz w:val="19"/>
        </w:rPr>
        <w:t>Production-Grade Deployment:</w:t>
      </w:r>
      <w:r>
        <w:rPr>
          <w:rFonts w:ascii="Times New Roman" w:hAnsi="Times New Roman"/>
          <w:color w:val="282D32"/>
          <w:sz w:val="19"/>
        </w:rPr>
        <w:t xml:space="preserve"> Deliver a real-time, zero-latency cloud application with interactive paper trading, automated rebalancing, and plain-language LLM quantitative explanations.</w:t>
      </w:r>
    </w:p>
    <w:p>
      <w:pPr>
        <w:spacing w:before="80" w:after="80" w:line="276" w:lineRule="auto"/>
        <w:jc w:val="left"/>
      </w:pPr>
      <w:r>
        <w:rPr>
          <w:rFonts w:ascii="Times New Roman" w:hAnsi="Times New Roman"/>
          <w:b w:val="0"/>
          <w:i w:val="0"/>
          <w:color w:val="1E232A"/>
          <w:sz w:val="20"/>
        </w:rPr>
      </w:r>
    </w:p>
    <w:p>
      <w:pPr>
        <w:spacing w:before="200" w:after="60" w:line="276" w:lineRule="auto"/>
        <w:jc w:val="left"/>
      </w:pPr>
      <w:r>
        <w:rPr>
          <w:rFonts w:ascii="Times New Roman" w:hAnsi="Times New Roman"/>
          <w:b/>
          <w:i w:val="0"/>
          <w:color w:val="0F2A4A"/>
          <w:sz w:val="25"/>
        </w:rPr>
        <w:t>4. Existing Systems vs. Proposed SparsioQ Architecture</w:t>
      </w:r>
    </w:p>
    <w:p>
      <w:pPr>
        <w:spacing w:before="0" w:after="80" w:line="276" w:lineRule="auto"/>
        <w:jc w:val="left"/>
      </w:pPr>
      <w:r>
        <w:rPr>
          <w:rFonts w:ascii="Times New Roman" w:hAnsi="Times New Roman"/>
          <w:b w:val="0"/>
          <w:i w:val="0"/>
          <w:color w:val="1E232A"/>
          <w:sz w:val="19"/>
        </w:rPr>
        <w:t>Traditional brokerage platforms lack integrated quantitative intelligence, forcing retail investors into emotional, speculative trading. In contrast, institutional hedge fund algorithms remain proprietary black boxes. Table 2 contrasts SparsioQ against prominent market solutions.</w:t>
      </w:r>
    </w:p>
    <w:p>
      <w:r>
        <w:br w:type="page"/>
      </w:r>
    </w:p>
    <w:p>
      <w:pPr>
        <w:spacing w:before="0" w:after="60" w:line="276" w:lineRule="auto"/>
        <w:jc w:val="left"/>
      </w:pPr>
      <w:r>
        <w:rPr>
          <w:rFonts w:ascii="Times New Roman" w:hAnsi="Times New Roman"/>
          <w:b/>
          <w:i w:val="0"/>
          <w:color w:val="0F2A4A"/>
          <w:sz w:val="18"/>
        </w:rPr>
        <w:t>Table 1: Landmark Academic Literature Reviewed &amp; Foundation Papers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2509"/>
        <w:gridCol w:w="2509"/>
        <w:gridCol w:w="2509"/>
        <w:gridCol w:w="2509"/>
      </w:tblGrid>
      <w:tr>
        <w:tc>
          <w:tcPr>
            <w:tcW w:type="dxa" w:w="2509"/>
            <w:shd w:fill="0F2A4A"/>
            <w:tcMar>
              <w:top w:w="60" w:type="dxa"/>
              <w:bottom w:w="60" w:type="dxa"/>
              <w:left w:w="80" w:type="dxa"/>
              <w:right w:w="80" w:type="dxa"/>
            </w:tcMar>
          </w:tcPr>
          <w:p>
            <w:r>
              <w:rPr>
                <w:b/>
                <w:color w:val="FFFFFF"/>
                <w:sz w:val="16"/>
              </w:rPr>
              <w:t>Paper Title &amp; Landmark Citation</w:t>
            </w:r>
          </w:p>
        </w:tc>
        <w:tc>
          <w:tcPr>
            <w:tcW w:type="dxa" w:w="2509"/>
            <w:shd w:fill="0F2A4A"/>
            <w:tcMar>
              <w:top w:w="60" w:type="dxa"/>
              <w:bottom w:w="60" w:type="dxa"/>
              <w:left w:w="80" w:type="dxa"/>
              <w:right w:w="80" w:type="dxa"/>
            </w:tcMar>
          </w:tcPr>
          <w:p>
            <w:r>
              <w:rPr>
                <w:b/>
                <w:color w:val="FFFFFF"/>
                <w:sz w:val="16"/>
              </w:rPr>
              <w:t>Authors &amp; Venue</w:t>
            </w:r>
          </w:p>
        </w:tc>
        <w:tc>
          <w:tcPr>
            <w:tcW w:type="dxa" w:w="2509"/>
            <w:shd w:fill="0F2A4A"/>
            <w:tcMar>
              <w:top w:w="60" w:type="dxa"/>
              <w:bottom w:w="60" w:type="dxa"/>
              <w:left w:w="80" w:type="dxa"/>
              <w:right w:w="80" w:type="dxa"/>
            </w:tcMar>
          </w:tcPr>
          <w:p>
            <w:r>
              <w:rPr>
                <w:b/>
                <w:color w:val="FFFFFF"/>
                <w:sz w:val="16"/>
              </w:rPr>
              <w:t>Core Mathematical Contribution</w:t>
            </w:r>
          </w:p>
        </w:tc>
        <w:tc>
          <w:tcPr>
            <w:tcW w:type="dxa" w:w="2509"/>
            <w:shd w:fill="0F2A4A"/>
            <w:tcMar>
              <w:top w:w="60" w:type="dxa"/>
              <w:bottom w:w="60" w:type="dxa"/>
              <w:left w:w="80" w:type="dxa"/>
              <w:right w:w="80" w:type="dxa"/>
            </w:tcMar>
          </w:tcPr>
          <w:p>
            <w:r>
              <w:rPr>
                <w:b/>
                <w:color w:val="FFFFFF"/>
                <w:sz w:val="16"/>
              </w:rPr>
              <w:t>SparsioQ Integration Role</w:t>
            </w:r>
          </w:p>
        </w:tc>
      </w:tr>
      <w:tr>
        <w:tc>
          <w:tcPr>
            <w:tcW w:type="dxa" w:w="2509"/>
            <w:shd w:fill="FFFFFF"/>
            <w:tcMar>
              <w:top w:w="40" w:type="dxa"/>
              <w:bottom w:w="40" w:type="dxa"/>
              <w:left w:w="60" w:type="dxa"/>
              <w:right w:w="60" w:type="dxa"/>
            </w:tcMar>
          </w:tcPr>
          <w:p>
            <w:r>
              <w:rPr>
                <w:b/>
                <w:color w:val="1E232A"/>
                <w:sz w:val="15"/>
              </w:rPr>
              <w:t>Portfolio Selection</w:t>
            </w:r>
          </w:p>
        </w:tc>
        <w:tc>
          <w:tcPr>
            <w:tcW w:type="dxa" w:w="2509"/>
            <w:shd w:fill="FFFFFF"/>
            <w:tcMar>
              <w:top w:w="40" w:type="dxa"/>
              <w:bottom w:w="40" w:type="dxa"/>
              <w:left w:w="60" w:type="dxa"/>
              <w:right w:w="60" w:type="dxa"/>
            </w:tcMar>
          </w:tcPr>
          <w:p>
            <w:r>
              <w:rPr>
                <w:color w:val="1E232A"/>
                <w:sz w:val="15"/>
              </w:rPr>
              <w:t>Harry Markowitz (1952), J. Finance</w:t>
            </w:r>
          </w:p>
        </w:tc>
        <w:tc>
          <w:tcPr>
            <w:tcW w:type="dxa" w:w="2509"/>
            <w:shd w:fill="FFFFFF"/>
            <w:tcMar>
              <w:top w:w="40" w:type="dxa"/>
              <w:bottom w:w="40" w:type="dxa"/>
              <w:left w:w="60" w:type="dxa"/>
              <w:right w:w="60" w:type="dxa"/>
            </w:tcMar>
          </w:tcPr>
          <w:p>
            <w:r>
              <w:rPr>
                <w:color w:val="1E232A"/>
                <w:sz w:val="15"/>
              </w:rPr>
              <w:t>Mean-variance portfolio formulation and efficient frontier</w:t>
            </w:r>
          </w:p>
        </w:tc>
        <w:tc>
          <w:tcPr>
            <w:tcW w:type="dxa" w:w="2509"/>
            <w:shd w:fill="FFFFFF"/>
            <w:tcMar>
              <w:top w:w="40" w:type="dxa"/>
              <w:bottom w:w="40" w:type="dxa"/>
              <w:left w:w="60" w:type="dxa"/>
              <w:right w:w="60" w:type="dxa"/>
            </w:tcMar>
          </w:tcPr>
          <w:p>
            <w:r>
              <w:rPr>
                <w:color w:val="1E232A"/>
                <w:sz w:val="15"/>
              </w:rPr>
              <w:t>Baseline convex quadratic objective function formulation</w:t>
            </w:r>
          </w:p>
        </w:tc>
      </w:tr>
      <w:tr>
        <w:tc>
          <w:tcPr>
            <w:tcW w:type="dxa" w:w="2509"/>
            <w:shd w:fill="F4F7FB"/>
            <w:tcMar>
              <w:top w:w="40" w:type="dxa"/>
              <w:bottom w:w="40" w:type="dxa"/>
              <w:left w:w="60" w:type="dxa"/>
              <w:right w:w="60" w:type="dxa"/>
            </w:tcMar>
          </w:tcPr>
          <w:p>
            <w:r>
              <w:rPr>
                <w:b/>
                <w:color w:val="1E232A"/>
                <w:sz w:val="15"/>
              </w:rPr>
              <w:t>Convex Optimization</w:t>
            </w:r>
          </w:p>
        </w:tc>
        <w:tc>
          <w:tcPr>
            <w:tcW w:type="dxa" w:w="2509"/>
            <w:shd w:fill="F4F7FB"/>
            <w:tcMar>
              <w:top w:w="40" w:type="dxa"/>
              <w:bottom w:w="40" w:type="dxa"/>
              <w:left w:w="60" w:type="dxa"/>
              <w:right w:w="60" w:type="dxa"/>
            </w:tcMar>
          </w:tcPr>
          <w:p>
            <w:r>
              <w:rPr>
                <w:color w:val="1E232A"/>
                <w:sz w:val="15"/>
              </w:rPr>
              <w:t>Stephen Boyd &amp; L. Vandenberghe (2004)</w:t>
            </w:r>
          </w:p>
        </w:tc>
        <w:tc>
          <w:tcPr>
            <w:tcW w:type="dxa" w:w="2509"/>
            <w:shd w:fill="F4F7FB"/>
            <w:tcMar>
              <w:top w:w="40" w:type="dxa"/>
              <w:bottom w:w="40" w:type="dxa"/>
              <w:left w:w="60" w:type="dxa"/>
              <w:right w:w="60" w:type="dxa"/>
            </w:tcMar>
          </w:tcPr>
          <w:p>
            <w:r>
              <w:rPr>
                <w:color w:val="1E232A"/>
                <w:sz w:val="15"/>
              </w:rPr>
              <w:t>Primal-dual interior point methods and cone programming</w:t>
            </w:r>
          </w:p>
        </w:tc>
        <w:tc>
          <w:tcPr>
            <w:tcW w:type="dxa" w:w="2509"/>
            <w:shd w:fill="F4F7FB"/>
            <w:tcMar>
              <w:top w:w="40" w:type="dxa"/>
              <w:bottom w:w="40" w:type="dxa"/>
              <w:left w:w="60" w:type="dxa"/>
              <w:right w:w="60" w:type="dxa"/>
            </w:tcMar>
          </w:tcPr>
          <w:p>
            <w:r>
              <w:rPr>
                <w:color w:val="1E232A"/>
                <w:sz w:val="15"/>
              </w:rPr>
              <w:t>CVXOPT sparse quadratic programming solver engine</w:t>
            </w:r>
          </w:p>
        </w:tc>
      </w:tr>
      <w:tr>
        <w:tc>
          <w:tcPr>
            <w:tcW w:type="dxa" w:w="2509"/>
            <w:shd w:fill="FFFFFF"/>
            <w:tcMar>
              <w:top w:w="40" w:type="dxa"/>
              <w:bottom w:w="40" w:type="dxa"/>
              <w:left w:w="60" w:type="dxa"/>
              <w:right w:w="60" w:type="dxa"/>
            </w:tcMar>
          </w:tcPr>
          <w:p>
            <w:r>
              <w:rPr>
                <w:b/>
                <w:color w:val="1E232A"/>
                <w:sz w:val="15"/>
              </w:rPr>
              <w:t>A Tutorial on Hidden Markov Models</w:t>
            </w:r>
          </w:p>
        </w:tc>
        <w:tc>
          <w:tcPr>
            <w:tcW w:type="dxa" w:w="2509"/>
            <w:shd w:fill="FFFFFF"/>
            <w:tcMar>
              <w:top w:w="40" w:type="dxa"/>
              <w:bottom w:w="40" w:type="dxa"/>
              <w:left w:w="60" w:type="dxa"/>
              <w:right w:w="60" w:type="dxa"/>
            </w:tcMar>
          </w:tcPr>
          <w:p>
            <w:r>
              <w:rPr>
                <w:color w:val="1E232A"/>
                <w:sz w:val="15"/>
              </w:rPr>
              <w:t>Lawrence Rabiner (1989), IEEE</w:t>
            </w:r>
          </w:p>
        </w:tc>
        <w:tc>
          <w:tcPr>
            <w:tcW w:type="dxa" w:w="2509"/>
            <w:shd w:fill="FFFFFF"/>
            <w:tcMar>
              <w:top w:w="40" w:type="dxa"/>
              <w:bottom w:w="40" w:type="dxa"/>
              <w:left w:w="60" w:type="dxa"/>
              <w:right w:w="60" w:type="dxa"/>
            </w:tcMar>
          </w:tcPr>
          <w:p>
            <w:r>
              <w:rPr>
                <w:color w:val="1E232A"/>
                <w:sz w:val="15"/>
              </w:rPr>
              <w:t>Baum-Welch expectation-maximization and forward-backward algorithms</w:t>
            </w:r>
          </w:p>
        </w:tc>
        <w:tc>
          <w:tcPr>
            <w:tcW w:type="dxa" w:w="2509"/>
            <w:shd w:fill="FFFFFF"/>
            <w:tcMar>
              <w:top w:w="40" w:type="dxa"/>
              <w:bottom w:w="40" w:type="dxa"/>
              <w:left w:w="60" w:type="dxa"/>
              <w:right w:w="60" w:type="dxa"/>
            </w:tcMar>
          </w:tcPr>
          <w:p>
            <w:r>
              <w:rPr>
                <w:color w:val="1E232A"/>
                <w:sz w:val="15"/>
              </w:rPr>
              <w:t>3-State Gaussian market regime shift identification</w:t>
            </w:r>
          </w:p>
        </w:tc>
      </w:tr>
      <w:tr>
        <w:tc>
          <w:tcPr>
            <w:tcW w:type="dxa" w:w="2509"/>
            <w:shd w:fill="F4F7FB"/>
            <w:tcMar>
              <w:top w:w="40" w:type="dxa"/>
              <w:bottom w:w="40" w:type="dxa"/>
              <w:left w:w="60" w:type="dxa"/>
              <w:right w:w="60" w:type="dxa"/>
            </w:tcMar>
          </w:tcPr>
          <w:p>
            <w:r>
              <w:rPr>
                <w:b/>
                <w:color w:val="1E232A"/>
                <w:sz w:val="15"/>
              </w:rPr>
              <w:t>Quantum Amplitude Amplification and Estimation</w:t>
            </w:r>
          </w:p>
        </w:tc>
        <w:tc>
          <w:tcPr>
            <w:tcW w:type="dxa" w:w="2509"/>
            <w:shd w:fill="F4F7FB"/>
            <w:tcMar>
              <w:top w:w="40" w:type="dxa"/>
              <w:bottom w:w="40" w:type="dxa"/>
              <w:left w:w="60" w:type="dxa"/>
              <w:right w:w="60" w:type="dxa"/>
            </w:tcMar>
          </w:tcPr>
          <w:p>
            <w:r>
              <w:rPr>
                <w:color w:val="1E232A"/>
                <w:sz w:val="15"/>
              </w:rPr>
              <w:t>Gilles Brassard et al. (2002), AMS</w:t>
            </w:r>
          </w:p>
        </w:tc>
        <w:tc>
          <w:tcPr>
            <w:tcW w:type="dxa" w:w="2509"/>
            <w:shd w:fill="F4F7FB"/>
            <w:tcMar>
              <w:top w:w="40" w:type="dxa"/>
              <w:bottom w:w="40" w:type="dxa"/>
              <w:left w:w="60" w:type="dxa"/>
              <w:right w:w="60" w:type="dxa"/>
            </w:tcMar>
          </w:tcPr>
          <w:p>
            <w:r>
              <w:rPr>
                <w:color w:val="1E232A"/>
                <w:sz w:val="15"/>
              </w:rPr>
              <w:t>Quadratic quantum speedup O(1/eps) over classical Monte Carlo</w:t>
            </w:r>
          </w:p>
        </w:tc>
        <w:tc>
          <w:tcPr>
            <w:tcW w:type="dxa" w:w="2509"/>
            <w:shd w:fill="F4F7FB"/>
            <w:tcMar>
              <w:top w:w="40" w:type="dxa"/>
              <w:bottom w:w="40" w:type="dxa"/>
              <w:left w:w="60" w:type="dxa"/>
              <w:right w:w="60" w:type="dxa"/>
            </w:tcMar>
          </w:tcPr>
          <w:p>
            <w:r>
              <w:rPr>
                <w:color w:val="1E232A"/>
                <w:sz w:val="15"/>
              </w:rPr>
              <w:t>High-speed derivative pricing and Value-at-Risk estimation</w:t>
            </w:r>
          </w:p>
        </w:tc>
      </w:tr>
      <w:tr>
        <w:tc>
          <w:tcPr>
            <w:tcW w:type="dxa" w:w="2509"/>
            <w:shd w:fill="FFFFFF"/>
            <w:tcMar>
              <w:top w:w="40" w:type="dxa"/>
              <w:bottom w:w="40" w:type="dxa"/>
              <w:left w:w="60" w:type="dxa"/>
              <w:right w:w="60" w:type="dxa"/>
            </w:tcMar>
          </w:tcPr>
          <w:p>
            <w:r>
              <w:rPr>
                <w:b/>
                <w:color w:val="1E232A"/>
                <w:sz w:val="15"/>
              </w:rPr>
              <w:t>The Pricing of Options and Corporate Liabilities</w:t>
            </w:r>
          </w:p>
        </w:tc>
        <w:tc>
          <w:tcPr>
            <w:tcW w:type="dxa" w:w="2509"/>
            <w:shd w:fill="FFFFFF"/>
            <w:tcMar>
              <w:top w:w="40" w:type="dxa"/>
              <w:bottom w:w="40" w:type="dxa"/>
              <w:left w:w="60" w:type="dxa"/>
              <w:right w:w="60" w:type="dxa"/>
            </w:tcMar>
          </w:tcPr>
          <w:p>
            <w:r>
              <w:rPr>
                <w:color w:val="1E232A"/>
                <w:sz w:val="15"/>
              </w:rPr>
              <w:t>Fischer Black &amp; Myron Scholes (1973)</w:t>
            </w:r>
          </w:p>
        </w:tc>
        <w:tc>
          <w:tcPr>
            <w:tcW w:type="dxa" w:w="2509"/>
            <w:shd w:fill="FFFFFF"/>
            <w:tcMar>
              <w:top w:w="40" w:type="dxa"/>
              <w:bottom w:w="40" w:type="dxa"/>
              <w:left w:w="60" w:type="dxa"/>
              <w:right w:w="60" w:type="dxa"/>
            </w:tcMar>
          </w:tcPr>
          <w:p>
            <w:r>
              <w:rPr>
                <w:color w:val="1E232A"/>
                <w:sz w:val="15"/>
              </w:rPr>
              <w:t>Closed-form PDE solution for European option valuation</w:t>
            </w:r>
          </w:p>
        </w:tc>
        <w:tc>
          <w:tcPr>
            <w:tcW w:type="dxa" w:w="2509"/>
            <w:shd w:fill="FFFFFF"/>
            <w:tcMar>
              <w:top w:w="40" w:type="dxa"/>
              <w:bottom w:w="40" w:type="dxa"/>
              <w:left w:w="60" w:type="dxa"/>
              <w:right w:w="60" w:type="dxa"/>
            </w:tcMar>
          </w:tcPr>
          <w:p>
            <w:r>
              <w:rPr>
                <w:color w:val="1E232A"/>
                <w:sz w:val="15"/>
              </w:rPr>
              <w:t>Multi-Greek derivative risk sensitivity surface computation</w:t>
            </w:r>
          </w:p>
        </w:tc>
      </w:tr>
      <w:tr>
        <w:tc>
          <w:tcPr>
            <w:tcW w:type="dxa" w:w="2509"/>
            <w:shd w:fill="F4F7FB"/>
            <w:tcMar>
              <w:top w:w="40" w:type="dxa"/>
              <w:bottom w:w="40" w:type="dxa"/>
              <w:left w:w="60" w:type="dxa"/>
              <w:right w:w="60" w:type="dxa"/>
            </w:tcMar>
          </w:tcPr>
          <w:p>
            <w:r>
              <w:rPr>
                <w:b/>
                <w:color w:val="1E232A"/>
                <w:sz w:val="15"/>
              </w:rPr>
              <w:t>Higher-Order Singular Value Decomposition</w:t>
            </w:r>
          </w:p>
        </w:tc>
        <w:tc>
          <w:tcPr>
            <w:tcW w:type="dxa" w:w="2509"/>
            <w:shd w:fill="F4F7FB"/>
            <w:tcMar>
              <w:top w:w="40" w:type="dxa"/>
              <w:bottom w:w="40" w:type="dxa"/>
              <w:left w:w="60" w:type="dxa"/>
              <w:right w:w="60" w:type="dxa"/>
            </w:tcMar>
          </w:tcPr>
          <w:p>
            <w:r>
              <w:rPr>
                <w:color w:val="1E232A"/>
                <w:sz w:val="15"/>
              </w:rPr>
              <w:t>Lieven De Lathauwer et al. (2000), SIMAX</w:t>
            </w:r>
          </w:p>
        </w:tc>
        <w:tc>
          <w:tcPr>
            <w:tcW w:type="dxa" w:w="2509"/>
            <w:shd w:fill="F4F7FB"/>
            <w:tcMar>
              <w:top w:w="40" w:type="dxa"/>
              <w:bottom w:w="40" w:type="dxa"/>
              <w:left w:w="60" w:type="dxa"/>
              <w:right w:w="60" w:type="dxa"/>
            </w:tcMar>
          </w:tcPr>
          <w:p>
            <w:r>
              <w:rPr>
                <w:color w:val="1E232A"/>
                <w:sz w:val="15"/>
              </w:rPr>
              <w:t>Multilinear singular value decomposition of N-way tensors</w:t>
            </w:r>
          </w:p>
        </w:tc>
        <w:tc>
          <w:tcPr>
            <w:tcW w:type="dxa" w:w="2509"/>
            <w:shd w:fill="F4F7FB"/>
            <w:tcMar>
              <w:top w:w="40" w:type="dxa"/>
              <w:bottom w:w="40" w:type="dxa"/>
              <w:left w:w="60" w:type="dxa"/>
              <w:right w:w="60" w:type="dxa"/>
            </w:tcMar>
          </w:tcPr>
          <w:p>
            <w:r>
              <w:rPr>
                <w:color w:val="1E232A"/>
                <w:sz w:val="15"/>
              </w:rPr>
              <w:t>Asset x Technical Indicator x Time slice latent mode extraction</w:t>
            </w:r>
          </w:p>
        </w:tc>
      </w:tr>
    </w:tbl>
    <w:p>
      <w:pPr>
        <w:spacing w:before="120" w:after="80" w:line="276" w:lineRule="auto"/>
        <w:jc w:val="left"/>
      </w:pPr>
      <w:r>
        <w:rPr>
          <w:rFonts w:ascii="Times New Roman" w:hAnsi="Times New Roman"/>
          <w:b w:val="0"/>
          <w:i w:val="0"/>
          <w:color w:val="1E232A"/>
          <w:sz w:val="20"/>
        </w:rPr>
      </w:r>
    </w:p>
    <w:p>
      <w:pPr>
        <w:spacing w:before="0" w:after="60" w:line="276" w:lineRule="auto"/>
        <w:jc w:val="left"/>
      </w:pPr>
      <w:r>
        <w:rPr>
          <w:rFonts w:ascii="Times New Roman" w:hAnsi="Times New Roman"/>
          <w:b/>
          <w:i w:val="0"/>
          <w:color w:val="0F2A4A"/>
          <w:sz w:val="18"/>
        </w:rPr>
        <w:t>Table 2: Feature Matrix Benchmark: SparsioQ vs. Existing Commercial Investment Platforms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2007"/>
        <w:gridCol w:w="2007"/>
        <w:gridCol w:w="2007"/>
        <w:gridCol w:w="2007"/>
        <w:gridCol w:w="2007"/>
      </w:tblGrid>
      <w:tr>
        <w:tc>
          <w:tcPr>
            <w:tcW w:type="dxa" w:w="2007"/>
            <w:shd w:fill="0F2A4A"/>
            <w:tcMar>
              <w:top w:w="60" w:type="dxa"/>
              <w:bottom w:w="60" w:type="dxa"/>
              <w:left w:w="80" w:type="dxa"/>
              <w:right w:w="80" w:type="dxa"/>
            </w:tcMar>
          </w:tcPr>
          <w:p>
            <w:r>
              <w:rPr>
                <w:b/>
                <w:color w:val="FFFFFF"/>
                <w:sz w:val="16"/>
              </w:rPr>
              <w:t>Capability / Dimension</w:t>
            </w:r>
          </w:p>
        </w:tc>
        <w:tc>
          <w:tcPr>
            <w:tcW w:type="dxa" w:w="2007"/>
            <w:shd w:fill="0F2A4A"/>
            <w:tcMar>
              <w:top w:w="60" w:type="dxa"/>
              <w:bottom w:w="60" w:type="dxa"/>
              <w:left w:w="80" w:type="dxa"/>
              <w:right w:w="80" w:type="dxa"/>
            </w:tcMar>
          </w:tcPr>
          <w:p>
            <w:r>
              <w:rPr>
                <w:b/>
                <w:color w:val="FFFFFF"/>
                <w:sz w:val="16"/>
              </w:rPr>
              <w:t>Zerodha / Groww</w:t>
            </w:r>
          </w:p>
        </w:tc>
        <w:tc>
          <w:tcPr>
            <w:tcW w:type="dxa" w:w="2007"/>
            <w:shd w:fill="0F2A4A"/>
            <w:tcMar>
              <w:top w:w="60" w:type="dxa"/>
              <w:bottom w:w="60" w:type="dxa"/>
              <w:left w:w="80" w:type="dxa"/>
              <w:right w:w="80" w:type="dxa"/>
            </w:tcMar>
          </w:tcPr>
          <w:p>
            <w:r>
              <w:rPr>
                <w:b/>
                <w:color w:val="FFFFFF"/>
                <w:sz w:val="16"/>
              </w:rPr>
              <w:t>Smallcase</w:t>
            </w:r>
          </w:p>
        </w:tc>
        <w:tc>
          <w:tcPr>
            <w:tcW w:type="dxa" w:w="2007"/>
            <w:shd w:fill="0F2A4A"/>
            <w:tcMar>
              <w:top w:w="60" w:type="dxa"/>
              <w:bottom w:w="60" w:type="dxa"/>
              <w:left w:w="80" w:type="dxa"/>
              <w:right w:w="80" w:type="dxa"/>
            </w:tcMar>
          </w:tcPr>
          <w:p>
            <w:r>
              <w:rPr>
                <w:b/>
                <w:color w:val="FFFFFF"/>
                <w:sz w:val="16"/>
              </w:rPr>
              <w:t>Wealthfront</w:t>
            </w:r>
          </w:p>
        </w:tc>
        <w:tc>
          <w:tcPr>
            <w:tcW w:type="dxa" w:w="2007"/>
            <w:shd w:fill="0F2A4A"/>
            <w:tcMar>
              <w:top w:w="60" w:type="dxa"/>
              <w:bottom w:w="60" w:type="dxa"/>
              <w:left w:w="80" w:type="dxa"/>
              <w:right w:w="80" w:type="dxa"/>
            </w:tcMar>
          </w:tcPr>
          <w:p>
            <w:r>
              <w:rPr>
                <w:b/>
                <w:color w:val="FFFFFF"/>
                <w:sz w:val="16"/>
              </w:rPr>
              <w:t>SparsioQ (Ours)</w:t>
            </w:r>
          </w:p>
        </w:tc>
      </w:tr>
      <w:tr>
        <w:tc>
          <w:tcPr>
            <w:tcW w:type="dxa" w:w="2007"/>
            <w:shd w:fill="FFFFFF"/>
            <w:tcMar>
              <w:top w:w="40" w:type="dxa"/>
              <w:bottom w:w="40" w:type="dxa"/>
              <w:left w:w="60" w:type="dxa"/>
              <w:right w:w="60" w:type="dxa"/>
            </w:tcMar>
          </w:tcPr>
          <w:p>
            <w:r>
              <w:rPr>
                <w:b/>
                <w:color w:val="1E232A"/>
                <w:sz w:val="15"/>
              </w:rPr>
              <w:t>Optimization Algorithm</w:t>
            </w:r>
          </w:p>
        </w:tc>
        <w:tc>
          <w:tcPr>
            <w:tcW w:type="dxa" w:w="2007"/>
            <w:shd w:fill="FFFFFF"/>
            <w:tcMar>
              <w:top w:w="40" w:type="dxa"/>
              <w:bottom w:w="40" w:type="dxa"/>
              <w:left w:w="60" w:type="dxa"/>
              <w:right w:w="60" w:type="dxa"/>
            </w:tcMar>
          </w:tcPr>
          <w:p>
            <w:r>
              <w:rPr>
                <w:color w:val="1E232A"/>
                <w:sz w:val="15"/>
              </w:rPr>
              <w:t>None (Manual Trading)</w:t>
            </w:r>
          </w:p>
        </w:tc>
        <w:tc>
          <w:tcPr>
            <w:tcW w:type="dxa" w:w="2007"/>
            <w:shd w:fill="FFFFFF"/>
            <w:tcMar>
              <w:top w:w="40" w:type="dxa"/>
              <w:bottom w:w="40" w:type="dxa"/>
              <w:left w:w="60" w:type="dxa"/>
              <w:right w:w="60" w:type="dxa"/>
            </w:tcMar>
          </w:tcPr>
          <w:p>
            <w:r>
              <w:rPr>
                <w:color w:val="1E232A"/>
                <w:sz w:val="15"/>
              </w:rPr>
              <w:t>Static Heuristic Weighting</w:t>
            </w:r>
          </w:p>
        </w:tc>
        <w:tc>
          <w:tcPr>
            <w:tcW w:type="dxa" w:w="2007"/>
            <w:shd w:fill="FFFFFF"/>
            <w:tcMar>
              <w:top w:w="40" w:type="dxa"/>
              <w:bottom w:w="40" w:type="dxa"/>
              <w:left w:w="60" w:type="dxa"/>
              <w:right w:w="60" w:type="dxa"/>
            </w:tcMar>
          </w:tcPr>
          <w:p>
            <w:r>
              <w:rPr>
                <w:color w:val="1E232A"/>
                <w:sz w:val="15"/>
              </w:rPr>
              <w:t>Unconstrained Mean-Variance</w:t>
            </w:r>
          </w:p>
        </w:tc>
        <w:tc>
          <w:tcPr>
            <w:tcW w:type="dxa" w:w="2007"/>
            <w:shd w:fill="FFFFFF"/>
            <w:tcMar>
              <w:top w:w="40" w:type="dxa"/>
              <w:bottom w:w="40" w:type="dxa"/>
              <w:left w:w="60" w:type="dxa"/>
              <w:right w:w="60" w:type="dxa"/>
            </w:tcMar>
          </w:tcPr>
          <w:p>
            <w:r>
              <w:rPr>
                <w:b/>
                <w:color w:val="0F2A4A"/>
                <w:sz w:val="15"/>
              </w:rPr>
              <w:t>L1-Sparse KKT Interior Point (CVXOPT)</w:t>
            </w:r>
          </w:p>
        </w:tc>
      </w:tr>
      <w:tr>
        <w:tc>
          <w:tcPr>
            <w:tcW w:type="dxa" w:w="2007"/>
            <w:shd w:fill="F4F7FB"/>
            <w:tcMar>
              <w:top w:w="40" w:type="dxa"/>
              <w:bottom w:w="40" w:type="dxa"/>
              <w:left w:w="60" w:type="dxa"/>
              <w:right w:w="60" w:type="dxa"/>
            </w:tcMar>
          </w:tcPr>
          <w:p>
            <w:r>
              <w:rPr>
                <w:b/>
                <w:color w:val="1E232A"/>
                <w:sz w:val="15"/>
              </w:rPr>
              <w:t>Market Regime Detection</w:t>
            </w:r>
          </w:p>
        </w:tc>
        <w:tc>
          <w:tcPr>
            <w:tcW w:type="dxa" w:w="2007"/>
            <w:shd w:fill="F4F7FB"/>
            <w:tcMar>
              <w:top w:w="40" w:type="dxa"/>
              <w:bottom w:w="40" w:type="dxa"/>
              <w:left w:w="60" w:type="dxa"/>
              <w:right w:w="60" w:type="dxa"/>
            </w:tcMar>
          </w:tcPr>
          <w:p>
            <w:r>
              <w:rPr>
                <w:color w:val="1E232A"/>
                <w:sz w:val="15"/>
              </w:rPr>
              <w:t>None (Static Technicals)</w:t>
            </w:r>
          </w:p>
        </w:tc>
        <w:tc>
          <w:tcPr>
            <w:tcW w:type="dxa" w:w="2007"/>
            <w:shd w:fill="F4F7FB"/>
            <w:tcMar>
              <w:top w:w="40" w:type="dxa"/>
              <w:bottom w:w="40" w:type="dxa"/>
              <w:left w:w="60" w:type="dxa"/>
              <w:right w:w="60" w:type="dxa"/>
            </w:tcMar>
          </w:tcPr>
          <w:p>
            <w:r>
              <w:rPr>
                <w:color w:val="1E232A"/>
                <w:sz w:val="15"/>
              </w:rPr>
              <w:t>None (Manual Index Review)</w:t>
            </w:r>
          </w:p>
        </w:tc>
        <w:tc>
          <w:tcPr>
            <w:tcW w:type="dxa" w:w="2007"/>
            <w:shd w:fill="F4F7FB"/>
            <w:tcMar>
              <w:top w:w="40" w:type="dxa"/>
              <w:bottom w:w="40" w:type="dxa"/>
              <w:left w:w="60" w:type="dxa"/>
              <w:right w:w="60" w:type="dxa"/>
            </w:tcMar>
          </w:tcPr>
          <w:p>
            <w:r>
              <w:rPr>
                <w:color w:val="1E232A"/>
                <w:sz w:val="15"/>
              </w:rPr>
              <w:t>Trailing Macro Volatility</w:t>
            </w:r>
          </w:p>
        </w:tc>
        <w:tc>
          <w:tcPr>
            <w:tcW w:type="dxa" w:w="2007"/>
            <w:shd w:fill="F4F7FB"/>
            <w:tcMar>
              <w:top w:w="40" w:type="dxa"/>
              <w:bottom w:w="40" w:type="dxa"/>
              <w:left w:w="60" w:type="dxa"/>
              <w:right w:w="60" w:type="dxa"/>
            </w:tcMar>
          </w:tcPr>
          <w:p>
            <w:r>
              <w:rPr>
                <w:b/>
                <w:color w:val="0F2A4A"/>
                <w:sz w:val="15"/>
              </w:rPr>
              <w:t>3-State Gaussian HMM (Baum-Welch)</w:t>
            </w:r>
          </w:p>
        </w:tc>
      </w:tr>
      <w:tr>
        <w:tc>
          <w:tcPr>
            <w:tcW w:type="dxa" w:w="2007"/>
            <w:shd w:fill="FFFFFF"/>
            <w:tcMar>
              <w:top w:w="40" w:type="dxa"/>
              <w:bottom w:w="40" w:type="dxa"/>
              <w:left w:w="60" w:type="dxa"/>
              <w:right w:w="60" w:type="dxa"/>
            </w:tcMar>
          </w:tcPr>
          <w:p>
            <w:r>
              <w:rPr>
                <w:b/>
                <w:color w:val="1E232A"/>
                <w:sz w:val="15"/>
              </w:rPr>
              <w:t>Risk Engine Precision</w:t>
            </w:r>
          </w:p>
        </w:tc>
        <w:tc>
          <w:tcPr>
            <w:tcW w:type="dxa" w:w="2007"/>
            <w:shd w:fill="FFFFFF"/>
            <w:tcMar>
              <w:top w:w="40" w:type="dxa"/>
              <w:bottom w:w="40" w:type="dxa"/>
              <w:left w:w="60" w:type="dxa"/>
              <w:right w:w="60" w:type="dxa"/>
            </w:tcMar>
          </w:tcPr>
          <w:p>
            <w:r>
              <w:rPr>
                <w:color w:val="1E232A"/>
                <w:sz w:val="15"/>
              </w:rPr>
              <w:t>Standard Margin Calculator</w:t>
            </w:r>
          </w:p>
        </w:tc>
        <w:tc>
          <w:tcPr>
            <w:tcW w:type="dxa" w:w="2007"/>
            <w:shd w:fill="FFFFFF"/>
            <w:tcMar>
              <w:top w:w="40" w:type="dxa"/>
              <w:bottom w:w="40" w:type="dxa"/>
              <w:left w:w="60" w:type="dxa"/>
              <w:right w:w="60" w:type="dxa"/>
            </w:tcMar>
          </w:tcPr>
          <w:p>
            <w:r>
              <w:rPr>
                <w:color w:val="1E232A"/>
                <w:sz w:val="15"/>
              </w:rPr>
              <w:t>Historical Volatility Score</w:t>
            </w:r>
          </w:p>
        </w:tc>
        <w:tc>
          <w:tcPr>
            <w:tcW w:type="dxa" w:w="2007"/>
            <w:shd w:fill="FFFFFF"/>
            <w:tcMar>
              <w:top w:w="40" w:type="dxa"/>
              <w:bottom w:w="40" w:type="dxa"/>
              <w:left w:w="60" w:type="dxa"/>
              <w:right w:w="60" w:type="dxa"/>
            </w:tcMar>
          </w:tcPr>
          <w:p>
            <w:r>
              <w:rPr>
                <w:color w:val="1E232A"/>
                <w:sz w:val="15"/>
              </w:rPr>
              <w:t>Parametric VaR (Normal Dist)</w:t>
            </w:r>
          </w:p>
        </w:tc>
        <w:tc>
          <w:tcPr>
            <w:tcW w:type="dxa" w:w="2007"/>
            <w:shd w:fill="FFFFFF"/>
            <w:tcMar>
              <w:top w:w="40" w:type="dxa"/>
              <w:bottom w:w="40" w:type="dxa"/>
              <w:left w:w="60" w:type="dxa"/>
              <w:right w:w="60" w:type="dxa"/>
            </w:tcMar>
          </w:tcPr>
          <w:p>
            <w:r>
              <w:rPr>
                <w:b/>
                <w:color w:val="0F2A4A"/>
                <w:sz w:val="15"/>
              </w:rPr>
              <w:t>Quantum Amplitude Estimation (QAE)</w:t>
            </w:r>
          </w:p>
        </w:tc>
      </w:tr>
      <w:tr>
        <w:tc>
          <w:tcPr>
            <w:tcW w:type="dxa" w:w="2007"/>
            <w:shd w:fill="F4F7FB"/>
            <w:tcMar>
              <w:top w:w="40" w:type="dxa"/>
              <w:bottom w:w="40" w:type="dxa"/>
              <w:left w:w="60" w:type="dxa"/>
              <w:right w:w="60" w:type="dxa"/>
            </w:tcMar>
          </w:tcPr>
          <w:p>
            <w:r>
              <w:rPr>
                <w:b/>
                <w:color w:val="1E232A"/>
                <w:sz w:val="15"/>
              </w:rPr>
              <w:t>Cross-Asset Factor Analysis</w:t>
            </w:r>
          </w:p>
        </w:tc>
        <w:tc>
          <w:tcPr>
            <w:tcW w:type="dxa" w:w="2007"/>
            <w:shd w:fill="F4F7FB"/>
            <w:tcMar>
              <w:top w:w="40" w:type="dxa"/>
              <w:bottom w:w="40" w:type="dxa"/>
              <w:left w:w="60" w:type="dxa"/>
              <w:right w:w="60" w:type="dxa"/>
            </w:tcMar>
          </w:tcPr>
          <w:p>
            <w:r>
              <w:rPr>
                <w:color w:val="1E232A"/>
                <w:sz w:val="15"/>
              </w:rPr>
              <w:t>Single-Stock Indicators</w:t>
            </w:r>
          </w:p>
        </w:tc>
        <w:tc>
          <w:tcPr>
            <w:tcW w:type="dxa" w:w="2007"/>
            <w:shd w:fill="F4F7FB"/>
            <w:tcMar>
              <w:top w:w="40" w:type="dxa"/>
              <w:bottom w:w="40" w:type="dxa"/>
              <w:left w:w="60" w:type="dxa"/>
              <w:right w:w="60" w:type="dxa"/>
            </w:tcMar>
          </w:tcPr>
          <w:p>
            <w:r>
              <w:rPr>
                <w:color w:val="1E232A"/>
                <w:sz w:val="15"/>
              </w:rPr>
              <w:t>Sector Bucketing</w:t>
            </w:r>
          </w:p>
        </w:tc>
        <w:tc>
          <w:tcPr>
            <w:tcW w:type="dxa" w:w="2007"/>
            <w:shd w:fill="F4F7FB"/>
            <w:tcMar>
              <w:top w:w="40" w:type="dxa"/>
              <w:bottom w:w="40" w:type="dxa"/>
              <w:left w:w="60" w:type="dxa"/>
              <w:right w:w="60" w:type="dxa"/>
            </w:tcMar>
          </w:tcPr>
          <w:p>
            <w:r>
              <w:rPr>
                <w:color w:val="1E232A"/>
                <w:sz w:val="15"/>
              </w:rPr>
              <w:t>Principal Component Analysis</w:t>
            </w:r>
          </w:p>
        </w:tc>
        <w:tc>
          <w:tcPr>
            <w:tcW w:type="dxa" w:w="2007"/>
            <w:shd w:fill="F4F7FB"/>
            <w:tcMar>
              <w:top w:w="40" w:type="dxa"/>
              <w:bottom w:w="40" w:type="dxa"/>
              <w:left w:w="60" w:type="dxa"/>
              <w:right w:w="60" w:type="dxa"/>
            </w:tcMar>
          </w:tcPr>
          <w:p>
            <w:r>
              <w:rPr>
                <w:b/>
                <w:color w:val="0F2A4A"/>
                <w:sz w:val="15"/>
              </w:rPr>
              <w:t>3D Tensor Tucker Decomposition (HoSVD)</w:t>
            </w:r>
          </w:p>
        </w:tc>
      </w:tr>
      <w:tr>
        <w:tc>
          <w:tcPr>
            <w:tcW w:type="dxa" w:w="2007"/>
            <w:shd w:fill="FFFFFF"/>
            <w:tcMar>
              <w:top w:w="40" w:type="dxa"/>
              <w:bottom w:w="40" w:type="dxa"/>
              <w:left w:w="60" w:type="dxa"/>
              <w:right w:w="60" w:type="dxa"/>
            </w:tcMar>
          </w:tcPr>
          <w:p>
            <w:r>
              <w:rPr>
                <w:b/>
                <w:color w:val="1E232A"/>
                <w:sz w:val="15"/>
              </w:rPr>
              <w:t>Interactive Paper Execution</w:t>
            </w:r>
          </w:p>
        </w:tc>
        <w:tc>
          <w:tcPr>
            <w:tcW w:type="dxa" w:w="2007"/>
            <w:shd w:fill="FFFFFF"/>
            <w:tcMar>
              <w:top w:w="40" w:type="dxa"/>
              <w:bottom w:w="40" w:type="dxa"/>
              <w:left w:w="60" w:type="dxa"/>
              <w:right w:w="60" w:type="dxa"/>
            </w:tcMar>
          </w:tcPr>
          <w:p>
            <w:r>
              <w:rPr>
                <w:color w:val="1E232A"/>
                <w:sz w:val="15"/>
              </w:rPr>
              <w:t>Limited / Paid Third-Party</w:t>
            </w:r>
          </w:p>
        </w:tc>
        <w:tc>
          <w:tcPr>
            <w:tcW w:type="dxa" w:w="2007"/>
            <w:shd w:fill="FFFFFF"/>
            <w:tcMar>
              <w:top w:w="40" w:type="dxa"/>
              <w:bottom w:w="40" w:type="dxa"/>
              <w:left w:w="60" w:type="dxa"/>
              <w:right w:w="60" w:type="dxa"/>
            </w:tcMar>
          </w:tcPr>
          <w:p>
            <w:r>
              <w:rPr>
                <w:color w:val="1E232A"/>
                <w:sz w:val="15"/>
              </w:rPr>
              <w:t>None (Live Capital Only)</w:t>
            </w:r>
          </w:p>
        </w:tc>
        <w:tc>
          <w:tcPr>
            <w:tcW w:type="dxa" w:w="2007"/>
            <w:shd w:fill="FFFFFF"/>
            <w:tcMar>
              <w:top w:w="40" w:type="dxa"/>
              <w:bottom w:w="40" w:type="dxa"/>
              <w:left w:w="60" w:type="dxa"/>
              <w:right w:w="60" w:type="dxa"/>
            </w:tcMar>
          </w:tcPr>
          <w:p>
            <w:r>
              <w:rPr>
                <w:color w:val="1E232A"/>
                <w:sz w:val="15"/>
              </w:rPr>
              <w:t>None (Live Capital Only)</w:t>
            </w:r>
          </w:p>
        </w:tc>
        <w:tc>
          <w:tcPr>
            <w:tcW w:type="dxa" w:w="2007"/>
            <w:shd w:fill="FFFFFF"/>
            <w:tcMar>
              <w:top w:w="40" w:type="dxa"/>
              <w:bottom w:w="40" w:type="dxa"/>
              <w:left w:w="60" w:type="dxa"/>
              <w:right w:w="60" w:type="dxa"/>
            </w:tcMar>
          </w:tcPr>
          <w:p>
            <w:r>
              <w:rPr>
                <w:b/>
                <w:color w:val="0F2A4A"/>
                <w:sz w:val="15"/>
              </w:rPr>
              <w:t>Zero-Capital Real-Time Simulator</w:t>
            </w:r>
          </w:p>
        </w:tc>
      </w:tr>
      <w:tr>
        <w:tc>
          <w:tcPr>
            <w:tcW w:type="dxa" w:w="2007"/>
            <w:shd w:fill="F4F7FB"/>
            <w:tcMar>
              <w:top w:w="40" w:type="dxa"/>
              <w:bottom w:w="40" w:type="dxa"/>
              <w:left w:w="60" w:type="dxa"/>
              <w:right w:w="60" w:type="dxa"/>
            </w:tcMar>
          </w:tcPr>
          <w:p>
            <w:r>
              <w:rPr>
                <w:b/>
                <w:color w:val="1E232A"/>
                <w:sz w:val="15"/>
              </w:rPr>
              <w:t>Quantitative Explanations</w:t>
            </w:r>
          </w:p>
        </w:tc>
        <w:tc>
          <w:tcPr>
            <w:tcW w:type="dxa" w:w="2007"/>
            <w:shd w:fill="F4F7FB"/>
            <w:tcMar>
              <w:top w:w="40" w:type="dxa"/>
              <w:bottom w:w="40" w:type="dxa"/>
              <w:left w:w="60" w:type="dxa"/>
              <w:right w:w="60" w:type="dxa"/>
            </w:tcMar>
          </w:tcPr>
          <w:p>
            <w:r>
              <w:rPr>
                <w:color w:val="1E232A"/>
                <w:sz w:val="15"/>
              </w:rPr>
              <w:t>Raw Financial Terms / Jargon</w:t>
            </w:r>
          </w:p>
        </w:tc>
        <w:tc>
          <w:tcPr>
            <w:tcW w:type="dxa" w:w="2007"/>
            <w:shd w:fill="F4F7FB"/>
            <w:tcMar>
              <w:top w:w="40" w:type="dxa"/>
              <w:bottom w:w="40" w:type="dxa"/>
              <w:left w:w="60" w:type="dxa"/>
              <w:right w:w="60" w:type="dxa"/>
            </w:tcMar>
          </w:tcPr>
          <w:p>
            <w:r>
              <w:rPr>
                <w:color w:val="1E232A"/>
                <w:sz w:val="15"/>
              </w:rPr>
              <w:t>Static Thematic Articles</w:t>
            </w:r>
          </w:p>
        </w:tc>
        <w:tc>
          <w:tcPr>
            <w:tcW w:type="dxa" w:w="2007"/>
            <w:shd w:fill="F4F7FB"/>
            <w:tcMar>
              <w:top w:w="40" w:type="dxa"/>
              <w:bottom w:w="40" w:type="dxa"/>
              <w:left w:w="60" w:type="dxa"/>
              <w:right w:w="60" w:type="dxa"/>
            </w:tcMar>
          </w:tcPr>
          <w:p>
            <w:r>
              <w:rPr>
                <w:color w:val="1E232A"/>
                <w:sz w:val="15"/>
              </w:rPr>
              <w:t>Generic Help Guides</w:t>
            </w:r>
          </w:p>
        </w:tc>
        <w:tc>
          <w:tcPr>
            <w:tcW w:type="dxa" w:w="2007"/>
            <w:shd w:fill="F4F7FB"/>
            <w:tcMar>
              <w:top w:w="40" w:type="dxa"/>
              <w:bottom w:w="40" w:type="dxa"/>
              <w:left w:w="60" w:type="dxa"/>
              <w:right w:w="60" w:type="dxa"/>
            </w:tcMar>
          </w:tcPr>
          <w:p>
            <w:r>
              <w:rPr>
                <w:b/>
                <w:color w:val="0F2A4A"/>
                <w:sz w:val="15"/>
              </w:rPr>
              <w:t>Zero-Jargon Multimodal LLM Co-Pilot</w:t>
            </w:r>
          </w:p>
        </w:tc>
      </w:tr>
    </w:tbl>
    <w:p>
      <w:pPr>
        <w:spacing w:before="160" w:after="80" w:line="276" w:lineRule="auto"/>
        <w:jc w:val="left"/>
      </w:pPr>
      <w:r>
        <w:rPr>
          <w:rFonts w:ascii="Times New Roman" w:hAnsi="Times New Roman"/>
          <w:b w:val="0"/>
          <w:i w:val="0"/>
          <w:color w:val="1E232A"/>
          <w:sz w:val="20"/>
        </w:rPr>
      </w:r>
    </w:p>
    <w:p>
      <w:pPr>
        <w:spacing w:after="40"/>
        <w:jc w:val="center"/>
      </w:pPr>
      <w:r>
        <w:drawing>
          <wp:inline xmlns:a="http://schemas.openxmlformats.org/drawingml/2006/main" xmlns:pic="http://schemas.openxmlformats.org/drawingml/2006/picture">
            <wp:extent cx="6217920" cy="1318953"/>
            <wp:docPr id="1" name="Picture 1"/>
            <wp:cNvGraphicFramePr>
              <a:graphicFrameLocks noChangeAspect="1"/>
            </wp:cNvGraphicFramePr>
            <a:graphic>
              <a:graphicData uri="http://schemas.openxmlformats.org/drawingml/2006/picture">
                <pic:pic>
                  <pic:nvPicPr>
                    <pic:cNvPr id="0" name="fig1_pipeline.png"/>
                    <pic:cNvPicPr/>
                  </pic:nvPicPr>
                  <pic:blipFill>
                    <a:blip r:embed="rId11"/>
                    <a:stretch>
                      <a:fillRect/>
                    </a:stretch>
                  </pic:blipFill>
                  <pic:spPr>
                    <a:xfrm>
                      <a:off x="0" y="0"/>
                      <a:ext cx="6217920" cy="1318953"/>
                    </a:xfrm>
                    <a:prstGeom prst="rect"/>
                  </pic:spPr>
                </pic:pic>
              </a:graphicData>
            </a:graphic>
          </wp:inline>
        </w:drawing>
      </w:r>
    </w:p>
    <w:p>
      <w:pPr>
        <w:spacing w:before="0" w:after="80" w:line="276" w:lineRule="auto"/>
        <w:jc w:val="center"/>
      </w:pPr>
      <w:r>
        <w:rPr>
          <w:rFonts w:ascii="Times New Roman" w:hAnsi="Times New Roman"/>
          <w:b w:val="0"/>
          <w:i/>
          <w:color w:val="3C4B5F"/>
          <w:sz w:val="16"/>
        </w:rPr>
        <w:t>Figure 1: End-to-end modular architecture of the SparsioQ quantitative execution engine, illustrating the real-time data ingestion pipeline, feature tensor factorization, mathematical optimization cores, quantum estimation modules, and interactive paper trading layer.</w:t>
      </w:r>
    </w:p>
    <w:p>
      <w:r>
        <w:br w:type="page"/>
      </w:r>
    </w:p>
    <w:p>
      <w:pPr>
        <w:spacing w:before="200" w:after="60" w:line="276" w:lineRule="auto"/>
        <w:jc w:val="left"/>
      </w:pPr>
      <w:r>
        <w:rPr>
          <w:rFonts w:ascii="Times New Roman" w:hAnsi="Times New Roman"/>
          <w:b/>
          <w:i w:val="0"/>
          <w:color w:val="0F2A4A"/>
          <w:sz w:val="25"/>
        </w:rPr>
        <w:t>5. Mathematical Foundations &amp; Theoretical Formulations</w:t>
      </w:r>
    </w:p>
    <w:p>
      <w:pPr>
        <w:spacing w:before="0" w:after="120" w:line="276" w:lineRule="auto"/>
        <w:jc w:val="left"/>
      </w:pPr>
      <w:r>
        <w:rPr>
          <w:rFonts w:ascii="Times New Roman" w:hAnsi="Times New Roman"/>
          <w:b w:val="0"/>
          <w:i w:val="0"/>
          <w:color w:val="1E232A"/>
          <w:sz w:val="19"/>
        </w:rPr>
        <w:t>The foundational strength of SparsioQ resides in its rigorous translation of modern pure and applied mathematics into stable computational routines. Below we formalize the five mathematical pillars powering the engine.</w:t>
      </w:r>
    </w:p>
    <w:p>
      <w:pPr>
        <w:spacing w:before="140" w:after="40" w:line="276" w:lineRule="auto"/>
        <w:jc w:val="left"/>
      </w:pPr>
      <w:r>
        <w:rPr>
          <w:rFonts w:ascii="Times New Roman" w:hAnsi="Times New Roman"/>
          <w:b/>
          <w:i w:val="0"/>
          <w:color w:val="335C8D"/>
          <w:sz w:val="22"/>
        </w:rPr>
        <w:t>5.1 L1-Regularized Sparse Markowitz Convex Optimization</w:t>
      </w:r>
    </w:p>
    <w:p>
      <w:pPr>
        <w:spacing w:before="0" w:after="60" w:line="276" w:lineRule="auto"/>
        <w:jc w:val="left"/>
      </w:pPr>
      <w:r>
        <w:rPr>
          <w:rFonts w:ascii="Times New Roman" w:hAnsi="Times New Roman"/>
          <w:b w:val="0"/>
          <w:i w:val="0"/>
          <w:color w:val="1E232A"/>
          <w:sz w:val="18"/>
        </w:rPr>
        <w:t>Let w in R^N denote the vector of portfolio weights across N candidate assets, mu in R^N the expected returns vector, and Sigma in S_+^N the positive semi-definite asset return covariance matrix. The classical Markowitz formulation minimizes portfolio risk w^T Sigma w - gamma mu^T w. To enforce cardinal sparsity and suppress small fractional allocations, SparsioQ incorporates an L1-norm regularization penalty lambda ||w||_1:</w:t>
      </w:r>
    </w:p>
    <w:p>
      <w:pPr>
        <w:spacing w:before="0" w:after="80" w:line="276" w:lineRule="auto"/>
        <w:jc w:val="left"/>
      </w:pPr>
      <w:r>
        <w:rPr>
          <w:rFonts w:ascii="Times New Roman" w:hAnsi="Times New Roman"/>
          <w:b/>
          <w:i w:val="0"/>
          <w:color w:val="0F2A4A"/>
          <w:sz w:val="18"/>
        </w:rPr>
        <w:t xml:space="preserve">   min_{w}  (1/2) w^T Sigma w - gamma mu^T w + lambda ||w||_1   subject to:  sum(w_i) = 1,  w_i &gt;= 0  (no short-selling)</w:t>
      </w:r>
    </w:p>
    <w:p>
      <w:pPr>
        <w:spacing w:before="0" w:after="60" w:line="276" w:lineRule="auto"/>
        <w:jc w:val="left"/>
      </w:pPr>
      <w:r>
        <w:rPr>
          <w:rFonts w:ascii="Times New Roman" w:hAnsi="Times New Roman"/>
          <w:b w:val="0"/>
          <w:i w:val="0"/>
          <w:color w:val="1E232A"/>
          <w:sz w:val="18"/>
        </w:rPr>
        <w:t>Because w_i &gt;= 0, ||w||_1 = sum(w_i) = 1 is constant over the simplex. To achieve localized sparsity, we reformulate the problem via auxiliary slack variables u in R^N, casting it into standard quadratic programming (QP) form:</w:t>
      </w:r>
    </w:p>
    <w:p>
      <w:pPr>
        <w:spacing w:before="0" w:after="80" w:line="276" w:lineRule="auto"/>
        <w:jc w:val="left"/>
      </w:pPr>
      <w:r>
        <w:rPr>
          <w:rFonts w:ascii="Times New Roman" w:hAnsi="Times New Roman"/>
          <w:b/>
          <w:i w:val="0"/>
          <w:color w:val="0F2A4A"/>
          <w:sz w:val="18"/>
        </w:rPr>
        <w:t xml:space="preserve">   min_{w, u}  (1/2) w^T Sigma w - gamma mu^T w + lambda sum(u_i)   s.t.  -u_i &lt;= w_i &lt;= u_i,  1^T w = 1,  w &gt;= 0</w:t>
      </w:r>
    </w:p>
    <w:p>
      <w:pPr>
        <w:spacing w:before="0" w:after="120" w:line="276" w:lineRule="auto"/>
        <w:jc w:val="left"/>
      </w:pPr>
      <w:r>
        <w:rPr>
          <w:rFonts w:ascii="Times New Roman" w:hAnsi="Times New Roman"/>
          <w:b w:val="0"/>
          <w:i w:val="0"/>
          <w:color w:val="1E232A"/>
          <w:sz w:val="18"/>
        </w:rPr>
        <w:t>This convex quadratic program is solved via CVXOPT's Primal-Dual Interior-Point algorithm. The Karush-Kuhn-Tucker (KKT) optimality conditions guarantee global optimality in polynomial time O(N^3), driving non-essential asset weights identically to zero.</w:t>
      </w:r>
    </w:p>
    <w:p>
      <w:pPr>
        <w:spacing w:before="140" w:after="40" w:line="276" w:lineRule="auto"/>
        <w:jc w:val="left"/>
      </w:pPr>
      <w:r>
        <w:rPr>
          <w:rFonts w:ascii="Times New Roman" w:hAnsi="Times New Roman"/>
          <w:b/>
          <w:i w:val="0"/>
          <w:color w:val="335C8D"/>
          <w:sz w:val="22"/>
        </w:rPr>
        <w:t>5.2 3-State Gaussian Hidden Markov Model (HMM) Regime Identification</w:t>
      </w:r>
    </w:p>
    <w:p>
      <w:pPr>
        <w:spacing w:before="0" w:after="60" w:line="276" w:lineRule="auto"/>
        <w:jc w:val="left"/>
      </w:pPr>
      <w:r>
        <w:rPr>
          <w:rFonts w:ascii="Times New Roman" w:hAnsi="Times New Roman"/>
          <w:b w:val="0"/>
          <w:i w:val="0"/>
          <w:color w:val="1E232A"/>
          <w:sz w:val="18"/>
        </w:rPr>
        <w:t>Financial time series exhibit non-stationary dynamics characterized by distinct latent regimes. SparsioQ models market state transitions using a discrete-time Hidden Markov Model with continuous Gaussian emissions:</w:t>
      </w:r>
    </w:p>
    <w:p>
      <w:pPr>
        <w:spacing w:before="0" w:after="80" w:line="276" w:lineRule="auto"/>
        <w:jc w:val="left"/>
      </w:pPr>
      <w:r>
        <w:rPr>
          <w:rFonts w:ascii="Times New Roman" w:hAnsi="Times New Roman"/>
          <w:b/>
          <w:i w:val="0"/>
          <w:color w:val="0F2A4A"/>
          <w:sz w:val="18"/>
        </w:rPr>
        <w:t xml:space="preserve">   P(S_t = j | S_{t-1} = i) = A_{ij},   r_t | (S_t = k) ~ N(mu_k, Sigma_k),   k in {0: Bullish Low-Vol, 1: Sideways Chop, 2: Bearish Crash}</w:t>
      </w:r>
    </w:p>
    <w:p>
      <w:pPr>
        <w:spacing w:before="0" w:after="120" w:line="276" w:lineRule="auto"/>
        <w:jc w:val="left"/>
      </w:pPr>
      <w:r>
        <w:rPr>
          <w:rFonts w:ascii="Times New Roman" w:hAnsi="Times New Roman"/>
          <w:b w:val="0"/>
          <w:i w:val="0"/>
          <w:color w:val="1E232A"/>
          <w:sz w:val="18"/>
        </w:rPr>
        <w:t>Model parameters theta = {pi, A, mu_k, Sigma_k} are calibrated via the Expectation-Maximization (EM) Baum-Welch algorithm. The forward-backward variables compute posterior regime probabilities gamma_t(k) = P(S_t = k | r_{1:T}). Optimal latent state trajectories are decoded using the dynamic programming Viterbi algorithm. When P(S_t = 2) &gt; 0.40, SparsioQ triggers automated risk hedging, scaling back equity beta and increasing cash reserves.</w:t>
      </w:r>
    </w:p>
    <w:p>
      <w:pPr>
        <w:spacing w:before="140" w:after="40" w:line="276" w:lineRule="auto"/>
        <w:jc w:val="left"/>
      </w:pPr>
      <w:r>
        <w:rPr>
          <w:rFonts w:ascii="Times New Roman" w:hAnsi="Times New Roman"/>
          <w:b/>
          <w:i w:val="0"/>
          <w:color w:val="335C8D"/>
          <w:sz w:val="22"/>
        </w:rPr>
        <w:t>5.3 Analytical Black-Scholes Formula &amp; Sensitivities (Greeks)</w:t>
      </w:r>
    </w:p>
    <w:p>
      <w:pPr>
        <w:spacing w:before="0" w:after="60" w:line="276" w:lineRule="auto"/>
        <w:jc w:val="left"/>
      </w:pPr>
      <w:r>
        <w:rPr>
          <w:rFonts w:ascii="Times New Roman" w:hAnsi="Times New Roman"/>
          <w:b w:val="0"/>
          <w:i w:val="0"/>
          <w:color w:val="1E232A"/>
          <w:sz w:val="18"/>
        </w:rPr>
        <w:t>For European options pricing and multi-asset tail hedging, SparsioQ employs the Black-Scholes-Merton model where the underlying asset price S_t follows geometric Brownian motion dS_t = r S_t dt + sigma S_t dW_t:</w:t>
      </w:r>
    </w:p>
    <w:p>
      <w:pPr>
        <w:spacing w:before="0" w:after="60" w:line="276" w:lineRule="auto"/>
        <w:jc w:val="left"/>
      </w:pPr>
      <w:r>
        <w:rPr>
          <w:rFonts w:ascii="Times New Roman" w:hAnsi="Times New Roman"/>
          <w:b/>
          <w:i w:val="0"/>
          <w:color w:val="0F2A4A"/>
          <w:sz w:val="18"/>
        </w:rPr>
        <w:t xml:space="preserve">   C(S, K, T, r, sigma) = S * Phi(d_1) - K * e^{-r T} * Phi(d_2)</w:t>
      </w:r>
    </w:p>
    <w:p>
      <w:pPr>
        <w:spacing w:before="0" w:after="80" w:line="276" w:lineRule="auto"/>
        <w:jc w:val="left"/>
      </w:pPr>
      <w:r>
        <w:rPr>
          <w:rFonts w:ascii="Times New Roman" w:hAnsi="Times New Roman"/>
          <w:b w:val="0"/>
          <w:i/>
          <w:color w:val="3C4B5F"/>
          <w:sz w:val="18"/>
        </w:rPr>
        <w:t xml:space="preserve">   d_1 = (ln(S/K) + (r + sigma^2 / 2) T) / (sigma * sqrt(T)),   d_2 = d_1 - sigma * sqrt(T)</w:t>
      </w:r>
    </w:p>
    <w:p>
      <w:pPr>
        <w:spacing w:before="0" w:after="120" w:line="276" w:lineRule="auto"/>
        <w:jc w:val="left"/>
      </w:pPr>
      <w:r>
        <w:rPr>
          <w:rFonts w:ascii="Times New Roman" w:hAnsi="Times New Roman"/>
          <w:b w:val="0"/>
          <w:i w:val="0"/>
          <w:color w:val="1E232A"/>
          <w:sz w:val="18"/>
        </w:rPr>
        <w:t>Analytical risk sensitivities (Greeks) are evaluated continuously: Delta = Phi(d_1), Gamma = phi(d_1) / (S sigma sqrt(T)), Vega = S phi(d_1) sqrt(T), Theta = -(S phi(d_1) sigma) / (2 sqrt(T)) - r K e^{-r T} Phi(d_2).</w:t>
      </w:r>
    </w:p>
    <w:p>
      <w:pPr>
        <w:spacing w:before="140" w:after="40" w:line="276" w:lineRule="auto"/>
        <w:jc w:val="left"/>
      </w:pPr>
      <w:r>
        <w:rPr>
          <w:rFonts w:ascii="Times New Roman" w:hAnsi="Times New Roman"/>
          <w:b/>
          <w:i w:val="0"/>
          <w:color w:val="335C8D"/>
          <w:sz w:val="22"/>
        </w:rPr>
        <w:t>5.4 Quantum Amplitude Estimation (QAE) for Risk Quantification</w:t>
      </w:r>
    </w:p>
    <w:p>
      <w:pPr>
        <w:spacing w:before="0" w:after="120" w:line="276" w:lineRule="auto"/>
        <w:jc w:val="left"/>
      </w:pPr>
      <w:r>
        <w:rPr>
          <w:rFonts w:ascii="Times New Roman" w:hAnsi="Times New Roman"/>
          <w:b w:val="0"/>
          <w:i w:val="0"/>
          <w:color w:val="1E232A"/>
          <w:sz w:val="18"/>
        </w:rPr>
        <w:t>Classical Monte Carlo methods estimate tail probabilities and Value-at-Risk (VaR) by drawing M random samples, yielding an estimation error bound of epsilon = O(1 / sqrt(M)). SparsioQ embeds a quantum simulation circuit leveraging Quantum Phase Estimation (QPE) over the Grover unitary operator Q = -A S_0 A^dagger S_chi. The circuit maps the portfolio loss distribution into quantum state amplitudes, estimating expected tail shortfall with quadratic speedup: epsilon = O(1 / M). For institutional risk desks requiring 99.9% VaR precision, this reduces required samples from 10^6 to 10^3, enabling real-time microsecond risk re-weighting.</w:t>
      </w:r>
    </w:p>
    <w:p>
      <w:r>
        <w:br w:type="page"/>
      </w:r>
    </w:p>
    <w:p>
      <w:pPr>
        <w:spacing w:before="140" w:after="40" w:line="276" w:lineRule="auto"/>
        <w:jc w:val="left"/>
      </w:pPr>
      <w:r>
        <w:rPr>
          <w:rFonts w:ascii="Times New Roman" w:hAnsi="Times New Roman"/>
          <w:b/>
          <w:i w:val="0"/>
          <w:color w:val="335C8D"/>
          <w:sz w:val="22"/>
        </w:rPr>
        <w:t>5.5 3D Tensor Tucker Decomposition (Higher-Order SVD)</w:t>
      </w:r>
    </w:p>
    <w:p>
      <w:pPr>
        <w:spacing w:before="0" w:after="60" w:line="276" w:lineRule="auto"/>
        <w:jc w:val="left"/>
      </w:pPr>
      <w:r>
        <w:rPr>
          <w:rFonts w:ascii="Times New Roman" w:hAnsi="Times New Roman"/>
          <w:b w:val="0"/>
          <w:i w:val="0"/>
          <w:color w:val="1E232A"/>
          <w:sz w:val="18"/>
        </w:rPr>
        <w:t>Cross-asset market dynamics are represented as a 3rd-order tensor X in R^{I x J x K}, where Mode-1 indexes assets (N=25), Mode-2 indexes technical and fundamental features (RSI, ATR, MACD, Volume, Volatility), and Mode-3 indexes temporal lookback periods (T=60 days). SparsioQ performs Tucker decomposition factorizing X into a dense core tensor G and orthogonal factor matrices U^(1), U^(2), U^(3):</w:t>
      </w:r>
    </w:p>
    <w:p>
      <w:pPr>
        <w:spacing w:before="0" w:after="80" w:line="276" w:lineRule="auto"/>
        <w:jc w:val="left"/>
      </w:pPr>
      <w:r>
        <w:rPr>
          <w:rFonts w:ascii="Times New Roman" w:hAnsi="Times New Roman"/>
          <w:b/>
          <w:i w:val="0"/>
          <w:color w:val="0F2A4A"/>
          <w:sz w:val="18"/>
        </w:rPr>
        <w:t xml:space="preserve">   X approx G x_1 U^(1) x_2 U^(2) x_3 U^(3),   U^(n) in R^{I_n x R_n}</w:t>
      </w:r>
    </w:p>
    <w:p>
      <w:pPr>
        <w:spacing w:before="0" w:after="120" w:line="276" w:lineRule="auto"/>
        <w:jc w:val="left"/>
      </w:pPr>
      <w:r>
        <w:rPr>
          <w:rFonts w:ascii="Times New Roman" w:hAnsi="Times New Roman"/>
          <w:b w:val="0"/>
          <w:i w:val="0"/>
          <w:color w:val="1E232A"/>
          <w:sz w:val="18"/>
        </w:rPr>
        <w:t>This multilinear subspace projection isolates latent cross-asset correlation regimes from idiosyncratic market noise, dramatically stabilizing the estimated covariance matrix Sigma prior to convex optimization.</w:t>
      </w:r>
    </w:p>
    <w:p>
      <w:pPr>
        <w:spacing w:before="200" w:after="60" w:line="276" w:lineRule="auto"/>
        <w:jc w:val="left"/>
      </w:pPr>
      <w:r>
        <w:rPr>
          <w:rFonts w:ascii="Times New Roman" w:hAnsi="Times New Roman"/>
          <w:b/>
          <w:i w:val="0"/>
          <w:color w:val="0F2A4A"/>
          <w:sz w:val="25"/>
        </w:rPr>
        <w:t>6. Methodology &amp; System Architecture</w:t>
      </w:r>
    </w:p>
    <w:p>
      <w:pPr>
        <w:pStyle w:val="ListBullet"/>
        <w:spacing w:before="20" w:after="40" w:line="276" w:lineRule="auto"/>
      </w:pPr>
      <w:r>
        <w:rPr>
          <w:rFonts w:ascii="Times New Roman" w:hAnsi="Times New Roman"/>
          <w:b/>
          <w:color w:val="0F2A4A"/>
          <w:sz w:val="19"/>
        </w:rPr>
        <w:t>Streaming Ingestion Layer:</w:t>
      </w:r>
      <w:r>
        <w:rPr>
          <w:rFonts w:ascii="Times New Roman" w:hAnsi="Times New Roman"/>
          <w:color w:val="282D32"/>
          <w:sz w:val="19"/>
        </w:rPr>
        <w:t xml:space="preserve"> Batched multi-threaded yfinance ingestion pipeline with 60-second TTL caching and empirical fallback matrix synthesis guaranteeing 100% platform uptime.</w:t>
      </w:r>
    </w:p>
    <w:p>
      <w:pPr>
        <w:pStyle w:val="ListBullet"/>
        <w:spacing w:before="20" w:after="40" w:line="276" w:lineRule="auto"/>
      </w:pPr>
      <w:r>
        <w:rPr>
          <w:rFonts w:ascii="Times New Roman" w:hAnsi="Times New Roman"/>
          <w:b/>
          <w:color w:val="0F2A4A"/>
          <w:sz w:val="19"/>
        </w:rPr>
        <w:t>Convex Optimization Pipeline:</w:t>
      </w:r>
      <w:r>
        <w:rPr>
          <w:rFonts w:ascii="Times New Roman" w:hAnsi="Times New Roman"/>
          <w:color w:val="282D32"/>
          <w:sz w:val="19"/>
        </w:rPr>
        <w:t xml:space="preserve"> Real-time parameter extraction, L1-regularized Markowitz formulation, and CVXOPT interior-point KKT solving with user-selected risk profiles (Conservative, Moderate, Aggressive).</w:t>
      </w:r>
    </w:p>
    <w:p>
      <w:pPr>
        <w:pStyle w:val="ListBullet"/>
        <w:spacing w:before="20" w:after="40" w:line="276" w:lineRule="auto"/>
      </w:pPr>
      <w:r>
        <w:rPr>
          <w:rFonts w:ascii="Times New Roman" w:hAnsi="Times New Roman"/>
          <w:b/>
          <w:color w:val="0F2A4A"/>
          <w:sz w:val="19"/>
        </w:rPr>
        <w:t>Dynamic HMM Hedging Core:</w:t>
      </w:r>
      <w:r>
        <w:rPr>
          <w:rFonts w:ascii="Times New Roman" w:hAnsi="Times New Roman"/>
          <w:color w:val="282D32"/>
          <w:sz w:val="19"/>
        </w:rPr>
        <w:t xml:space="preserve"> Automated regime classification and regime-adaptive cash rebalancing, rotating asset weights to prevent catastrophic portfolio drawdowns.</w:t>
      </w:r>
    </w:p>
    <w:p>
      <w:pPr>
        <w:pStyle w:val="ListBullet"/>
        <w:spacing w:before="20" w:after="40" w:line="276" w:lineRule="auto"/>
      </w:pPr>
      <w:r>
        <w:rPr>
          <w:rFonts w:ascii="Times New Roman" w:hAnsi="Times New Roman"/>
          <w:b/>
          <w:color w:val="0F2A4A"/>
          <w:sz w:val="19"/>
        </w:rPr>
        <w:t>Interactive Execution Simulator:</w:t>
      </w:r>
      <w:r>
        <w:rPr>
          <w:rFonts w:ascii="Times New Roman" w:hAnsi="Times New Roman"/>
          <w:color w:val="282D32"/>
          <w:sz w:val="19"/>
        </w:rPr>
        <w:t xml:space="preserve"> Zero-capital real-time paper trading engine tracking portfolio P&amp;L, Sharpe ratio, max drawdown, and transaction ledger.</w:t>
      </w:r>
    </w:p>
    <w:p>
      <w:pPr>
        <w:spacing w:before="80" w:after="80" w:line="276" w:lineRule="auto"/>
        <w:jc w:val="left"/>
      </w:pPr>
      <w:r>
        <w:rPr>
          <w:rFonts w:ascii="Times New Roman" w:hAnsi="Times New Roman"/>
          <w:b w:val="0"/>
          <w:i w:val="0"/>
          <w:color w:val="1E232A"/>
          <w:sz w:val="20"/>
        </w:rPr>
      </w:r>
    </w:p>
    <w:p>
      <w:pPr>
        <w:spacing w:before="200" w:after="60" w:line="276" w:lineRule="auto"/>
        <w:jc w:val="left"/>
      </w:pPr>
      <w:r>
        <w:rPr>
          <w:rFonts w:ascii="Times New Roman" w:hAnsi="Times New Roman"/>
          <w:b/>
          <w:i w:val="0"/>
          <w:color w:val="0F2A4A"/>
          <w:sz w:val="25"/>
        </w:rPr>
        <w:t>7. Implementation &amp; System Design</w:t>
      </w:r>
    </w:p>
    <w:p>
      <w:pPr>
        <w:spacing w:before="0" w:after="120" w:line="276" w:lineRule="auto"/>
        <w:jc w:val="left"/>
      </w:pPr>
      <w:r>
        <w:rPr>
          <w:rFonts w:ascii="Times New Roman" w:hAnsi="Times New Roman"/>
          <w:b w:val="0"/>
          <w:i w:val="0"/>
          <w:color w:val="1E232A"/>
          <w:sz w:val="18"/>
        </w:rPr>
        <w:t>The production platform is implemented in modular Python 3.11+, orchestrated via Streamlit, and deployed on cloud infrastructure. Below, Figure 2 highlights the computed Markowitz Efficient Frontier with KKT optimality points, and Figure 3 details the HMM market regime classifications.</w:t>
      </w:r>
    </w:p>
    <w:tbl>
      <w:tblPr>
        <w:tblW w:type="auto" w:w="0"/>
        <w:jc w:val="center"/>
        <w:tblLook w:firstColumn="1" w:firstRow="1" w:lastColumn="0" w:lastRow="0" w:noHBand="0" w:noVBand="1" w:val="04A0"/>
        <w:tblBorders>
          <w:top w:val="none" w:sz="4" w:space="0" w:color="CCCCCC"/>
          <w:bottom w:val="none" w:sz="4" w:space="0" w:color="CCCCCC"/>
          <w:left w:val="none"/>
          <w:right w:val="none"/>
          <w:insideH w:val="none" w:sz="4" w:space="0" w:color="CCCCCC"/>
          <w:insideV w:val="none"/>
        </w:tblBorders>
      </w:tblPr>
      <w:tblGrid>
        <w:gridCol w:w="5018"/>
        <w:gridCol w:w="5018"/>
      </w:tblGrid>
      <w:tr>
        <w:tc>
          <w:tcPr>
            <w:tcW w:type="dxa" w:w="5018"/>
          </w:tcPr>
          <w:p>
            <w:pPr>
              <w:jc w:val="center"/>
            </w:pPr>
            <w:r>
              <w:drawing>
                <wp:inline xmlns:a="http://schemas.openxmlformats.org/drawingml/2006/main" xmlns:pic="http://schemas.openxmlformats.org/drawingml/2006/picture">
                  <wp:extent cx="3017520" cy="1586373"/>
                  <wp:docPr id="2" name="Picture 2"/>
                  <wp:cNvGraphicFramePr>
                    <a:graphicFrameLocks noChangeAspect="1"/>
                  </wp:cNvGraphicFramePr>
                  <a:graphic>
                    <a:graphicData uri="http://schemas.openxmlformats.org/drawingml/2006/picture">
                      <pic:pic>
                        <pic:nvPicPr>
                          <pic:cNvPr id="0" name="fig2_frontier.png"/>
                          <pic:cNvPicPr/>
                        </pic:nvPicPr>
                        <pic:blipFill>
                          <a:blip r:embed="rId12"/>
                          <a:stretch>
                            <a:fillRect/>
                          </a:stretch>
                        </pic:blipFill>
                        <pic:spPr>
                          <a:xfrm>
                            <a:off x="0" y="0"/>
                            <a:ext cx="3017520" cy="1586373"/>
                          </a:xfrm>
                          <a:prstGeom prst="rect"/>
                        </pic:spPr>
                      </pic:pic>
                    </a:graphicData>
                  </a:graphic>
                </wp:inline>
              </w:drawing>
            </w:r>
          </w:p>
        </w:tc>
        <w:tc>
          <w:tcPr>
            <w:tcW w:type="dxa" w:w="5018"/>
          </w:tcPr>
          <w:p>
            <w:pPr>
              <w:jc w:val="center"/>
            </w:pPr>
            <w:r>
              <w:drawing>
                <wp:inline xmlns:a="http://schemas.openxmlformats.org/drawingml/2006/main" xmlns:pic="http://schemas.openxmlformats.org/drawingml/2006/picture">
                  <wp:extent cx="3017520" cy="1589068"/>
                  <wp:docPr id="3" name="Picture 3"/>
                  <wp:cNvGraphicFramePr>
                    <a:graphicFrameLocks noChangeAspect="1"/>
                  </wp:cNvGraphicFramePr>
                  <a:graphic>
                    <a:graphicData uri="http://schemas.openxmlformats.org/drawingml/2006/picture">
                      <pic:pic>
                        <pic:nvPicPr>
                          <pic:cNvPr id="0" name="fig3_hmm.png"/>
                          <pic:cNvPicPr/>
                        </pic:nvPicPr>
                        <pic:blipFill>
                          <a:blip r:embed="rId13"/>
                          <a:stretch>
                            <a:fillRect/>
                          </a:stretch>
                        </pic:blipFill>
                        <pic:spPr>
                          <a:xfrm>
                            <a:off x="0" y="0"/>
                            <a:ext cx="3017520" cy="1589068"/>
                          </a:xfrm>
                          <a:prstGeom prst="rect"/>
                        </pic:spPr>
                      </pic:pic>
                    </a:graphicData>
                  </a:graphic>
                </wp:inline>
              </w:drawing>
            </w:r>
          </w:p>
        </w:tc>
      </w:tr>
    </w:tbl>
    <w:p>
      <w:pPr>
        <w:spacing w:before="0" w:after="80" w:line="276" w:lineRule="auto"/>
        <w:jc w:val="center"/>
      </w:pPr>
      <w:r>
        <w:rPr>
          <w:rFonts w:ascii="Times New Roman" w:hAnsi="Times New Roman"/>
          <w:b w:val="0"/>
          <w:i/>
          <w:color w:val="3C4B5F"/>
          <w:sz w:val="16"/>
        </w:rPr>
        <w:t>Figures 2 &amp; 3: (Left) Markowitz Efficient Frontier with individual asset risk-return profiles and KKT-optimal portfolios. (Right) 3-State Gaussian HMM regime shift segmentation over NIFTY 50 price history.</w:t>
      </w:r>
    </w:p>
    <w:p>
      <w:r>
        <w:br w:type="page"/>
      </w:r>
    </w:p>
    <w:p>
      <w:pPr>
        <w:spacing w:before="0" w:after="60" w:line="276" w:lineRule="auto"/>
        <w:jc w:val="left"/>
      </w:pPr>
      <w:r>
        <w:rPr>
          <w:rFonts w:ascii="Times New Roman" w:hAnsi="Times New Roman"/>
          <w:b/>
          <w:i w:val="0"/>
          <w:color w:val="0F2A4A"/>
          <w:sz w:val="18"/>
        </w:rPr>
        <w:t>Table 3: Production Technology Stack &amp; Architectural Specifications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2509"/>
        <w:gridCol w:w="2509"/>
        <w:gridCol w:w="2509"/>
        <w:gridCol w:w="2509"/>
      </w:tblGrid>
      <w:tr>
        <w:tc>
          <w:tcPr>
            <w:tcW w:type="dxa" w:w="2509"/>
            <w:shd w:fill="0F2A4A"/>
            <w:tcMar>
              <w:top w:w="50" w:type="dxa"/>
              <w:bottom w:w="50" w:type="dxa"/>
              <w:left w:w="70" w:type="dxa"/>
              <w:right w:w="70" w:type="dxa"/>
            </w:tcMar>
          </w:tcPr>
          <w:p>
            <w:r>
              <w:rPr>
                <w:b/>
                <w:color w:val="FFFFFF"/>
                <w:sz w:val="16"/>
              </w:rPr>
              <w:t>Layer / Module</w:t>
            </w:r>
          </w:p>
        </w:tc>
        <w:tc>
          <w:tcPr>
            <w:tcW w:type="dxa" w:w="2509"/>
            <w:shd w:fill="0F2A4A"/>
            <w:tcMar>
              <w:top w:w="50" w:type="dxa"/>
              <w:bottom w:w="50" w:type="dxa"/>
              <w:left w:w="70" w:type="dxa"/>
              <w:right w:w="70" w:type="dxa"/>
            </w:tcMar>
          </w:tcPr>
          <w:p>
            <w:r>
              <w:rPr>
                <w:b/>
                <w:color w:val="FFFFFF"/>
                <w:sz w:val="16"/>
              </w:rPr>
              <w:t>Technology &amp; Framework</w:t>
            </w:r>
          </w:p>
        </w:tc>
        <w:tc>
          <w:tcPr>
            <w:tcW w:type="dxa" w:w="2509"/>
            <w:shd w:fill="0F2A4A"/>
            <w:tcMar>
              <w:top w:w="50" w:type="dxa"/>
              <w:bottom w:w="50" w:type="dxa"/>
              <w:left w:w="70" w:type="dxa"/>
              <w:right w:w="70" w:type="dxa"/>
            </w:tcMar>
          </w:tcPr>
          <w:p>
            <w:r>
              <w:rPr>
                <w:b/>
                <w:color w:val="FFFFFF"/>
                <w:sz w:val="16"/>
              </w:rPr>
              <w:t>Version / Spec</w:t>
            </w:r>
          </w:p>
        </w:tc>
        <w:tc>
          <w:tcPr>
            <w:tcW w:type="dxa" w:w="2509"/>
            <w:shd w:fill="0F2A4A"/>
            <w:tcMar>
              <w:top w:w="50" w:type="dxa"/>
              <w:bottom w:w="50" w:type="dxa"/>
              <w:left w:w="70" w:type="dxa"/>
              <w:right w:w="70" w:type="dxa"/>
            </w:tcMar>
          </w:tcPr>
          <w:p>
            <w:r>
              <w:rPr>
                <w:b/>
                <w:color w:val="FFFFFF"/>
                <w:sz w:val="16"/>
              </w:rPr>
              <w:t>Architectural Responsibility</w:t>
            </w:r>
          </w:p>
        </w:tc>
      </w:tr>
      <w:tr>
        <w:tc>
          <w:tcPr>
            <w:tcW w:type="dxa" w:w="2509"/>
            <w:shd w:fill="FFFFFF"/>
            <w:tcMar>
              <w:top w:w="35" w:type="dxa"/>
              <w:bottom w:w="35" w:type="dxa"/>
              <w:left w:w="60" w:type="dxa"/>
              <w:right w:w="60" w:type="dxa"/>
            </w:tcMar>
          </w:tcPr>
          <w:p>
            <w:r>
              <w:rPr>
                <w:b/>
                <w:color w:val="1E232A"/>
                <w:sz w:val="15"/>
              </w:rPr>
              <w:t>User Interface</w:t>
            </w:r>
          </w:p>
        </w:tc>
        <w:tc>
          <w:tcPr>
            <w:tcW w:type="dxa" w:w="2509"/>
            <w:shd w:fill="FFFFFF"/>
            <w:tcMar>
              <w:top w:w="35" w:type="dxa"/>
              <w:bottom w:w="35" w:type="dxa"/>
              <w:left w:w="60" w:type="dxa"/>
              <w:right w:w="60" w:type="dxa"/>
            </w:tcMar>
          </w:tcPr>
          <w:p>
            <w:r>
              <w:rPr>
                <w:color w:val="1E232A"/>
                <w:sz w:val="15"/>
              </w:rPr>
              <w:t>Streamlit Cloud / React</w:t>
            </w:r>
          </w:p>
        </w:tc>
        <w:tc>
          <w:tcPr>
            <w:tcW w:type="dxa" w:w="2509"/>
            <w:shd w:fill="FFFFFF"/>
            <w:tcMar>
              <w:top w:w="35" w:type="dxa"/>
              <w:bottom w:w="35" w:type="dxa"/>
              <w:left w:w="60" w:type="dxa"/>
              <w:right w:w="60" w:type="dxa"/>
            </w:tcMar>
          </w:tcPr>
          <w:p>
            <w:r>
              <w:rPr>
                <w:color w:val="1E232A"/>
                <w:sz w:val="15"/>
              </w:rPr>
              <w:t>v1.40.0</w:t>
            </w:r>
          </w:p>
        </w:tc>
        <w:tc>
          <w:tcPr>
            <w:tcW w:type="dxa" w:w="2509"/>
            <w:shd w:fill="FFFFFF"/>
            <w:tcMar>
              <w:top w:w="35" w:type="dxa"/>
              <w:bottom w:w="35" w:type="dxa"/>
              <w:left w:w="60" w:type="dxa"/>
              <w:right w:w="60" w:type="dxa"/>
            </w:tcMar>
          </w:tcPr>
          <w:p>
            <w:r>
              <w:rPr>
                <w:color w:val="1E232A"/>
                <w:sz w:val="15"/>
              </w:rPr>
              <w:t>Reactive, stateful single-page web app and trading cockpit</w:t>
            </w:r>
          </w:p>
        </w:tc>
      </w:tr>
      <w:tr>
        <w:tc>
          <w:tcPr>
            <w:tcW w:type="dxa" w:w="2509"/>
            <w:shd w:fill="F4F7FB"/>
            <w:tcMar>
              <w:top w:w="35" w:type="dxa"/>
              <w:bottom w:w="35" w:type="dxa"/>
              <w:left w:w="60" w:type="dxa"/>
              <w:right w:w="60" w:type="dxa"/>
            </w:tcMar>
          </w:tcPr>
          <w:p>
            <w:r>
              <w:rPr>
                <w:b/>
                <w:color w:val="1E232A"/>
                <w:sz w:val="15"/>
              </w:rPr>
              <w:t>Convex Optimization</w:t>
            </w:r>
          </w:p>
        </w:tc>
        <w:tc>
          <w:tcPr>
            <w:tcW w:type="dxa" w:w="2509"/>
            <w:shd w:fill="F4F7FB"/>
            <w:tcMar>
              <w:top w:w="35" w:type="dxa"/>
              <w:bottom w:w="35" w:type="dxa"/>
              <w:left w:w="60" w:type="dxa"/>
              <w:right w:w="60" w:type="dxa"/>
            </w:tcMar>
          </w:tcPr>
          <w:p>
            <w:r>
              <w:rPr>
                <w:color w:val="1E232A"/>
                <w:sz w:val="15"/>
              </w:rPr>
              <w:t>CVXOPT / NumPy</w:t>
            </w:r>
          </w:p>
        </w:tc>
        <w:tc>
          <w:tcPr>
            <w:tcW w:type="dxa" w:w="2509"/>
            <w:shd w:fill="F4F7FB"/>
            <w:tcMar>
              <w:top w:w="35" w:type="dxa"/>
              <w:bottom w:w="35" w:type="dxa"/>
              <w:left w:w="60" w:type="dxa"/>
              <w:right w:w="60" w:type="dxa"/>
            </w:tcMar>
          </w:tcPr>
          <w:p>
            <w:r>
              <w:rPr>
                <w:color w:val="1E232A"/>
                <w:sz w:val="15"/>
              </w:rPr>
              <w:t>v1.3.2 / v1.26.4</w:t>
            </w:r>
          </w:p>
        </w:tc>
        <w:tc>
          <w:tcPr>
            <w:tcW w:type="dxa" w:w="2509"/>
            <w:shd w:fill="F4F7FB"/>
            <w:tcMar>
              <w:top w:w="35" w:type="dxa"/>
              <w:bottom w:w="35" w:type="dxa"/>
              <w:left w:w="60" w:type="dxa"/>
              <w:right w:w="60" w:type="dxa"/>
            </w:tcMar>
          </w:tcPr>
          <w:p>
            <w:r>
              <w:rPr>
                <w:color w:val="1E232A"/>
                <w:sz w:val="15"/>
              </w:rPr>
              <w:t>Primal-dual interior point cone solver for sparse quadratic programs</w:t>
            </w:r>
          </w:p>
        </w:tc>
      </w:tr>
      <w:tr>
        <w:tc>
          <w:tcPr>
            <w:tcW w:type="dxa" w:w="2509"/>
            <w:shd w:fill="FFFFFF"/>
            <w:tcMar>
              <w:top w:w="35" w:type="dxa"/>
              <w:bottom w:w="35" w:type="dxa"/>
              <w:left w:w="60" w:type="dxa"/>
              <w:right w:w="60" w:type="dxa"/>
            </w:tcMar>
          </w:tcPr>
          <w:p>
            <w:r>
              <w:rPr>
                <w:b/>
                <w:color w:val="1E232A"/>
                <w:sz w:val="15"/>
              </w:rPr>
              <w:t>Regime Modeling</w:t>
            </w:r>
          </w:p>
        </w:tc>
        <w:tc>
          <w:tcPr>
            <w:tcW w:type="dxa" w:w="2509"/>
            <w:shd w:fill="FFFFFF"/>
            <w:tcMar>
              <w:top w:w="35" w:type="dxa"/>
              <w:bottom w:w="35" w:type="dxa"/>
              <w:left w:w="60" w:type="dxa"/>
              <w:right w:w="60" w:type="dxa"/>
            </w:tcMar>
          </w:tcPr>
          <w:p>
            <w:r>
              <w:rPr>
                <w:color w:val="1E232A"/>
                <w:sz w:val="15"/>
              </w:rPr>
              <w:t>hmmlearn / Scikit-Learn</w:t>
            </w:r>
          </w:p>
        </w:tc>
        <w:tc>
          <w:tcPr>
            <w:tcW w:type="dxa" w:w="2509"/>
            <w:shd w:fill="FFFFFF"/>
            <w:tcMar>
              <w:top w:w="35" w:type="dxa"/>
              <w:bottom w:w="35" w:type="dxa"/>
              <w:left w:w="60" w:type="dxa"/>
              <w:right w:w="60" w:type="dxa"/>
            </w:tcMar>
          </w:tcPr>
          <w:p>
            <w:r>
              <w:rPr>
                <w:color w:val="1E232A"/>
                <w:sz w:val="15"/>
              </w:rPr>
              <w:t>v0.3.3 / v1.5.0</w:t>
            </w:r>
          </w:p>
        </w:tc>
        <w:tc>
          <w:tcPr>
            <w:tcW w:type="dxa" w:w="2509"/>
            <w:shd w:fill="FFFFFF"/>
            <w:tcMar>
              <w:top w:w="35" w:type="dxa"/>
              <w:bottom w:w="35" w:type="dxa"/>
              <w:left w:w="60" w:type="dxa"/>
              <w:right w:w="60" w:type="dxa"/>
            </w:tcMar>
          </w:tcPr>
          <w:p>
            <w:r>
              <w:rPr>
                <w:color w:val="1E232A"/>
                <w:sz w:val="15"/>
              </w:rPr>
              <w:t>Unsupervised Gaussian HMM fitting via Baum-Welch algorithm</w:t>
            </w:r>
          </w:p>
        </w:tc>
      </w:tr>
      <w:tr>
        <w:tc>
          <w:tcPr>
            <w:tcW w:type="dxa" w:w="2509"/>
            <w:shd w:fill="F4F7FB"/>
            <w:tcMar>
              <w:top w:w="35" w:type="dxa"/>
              <w:bottom w:w="35" w:type="dxa"/>
              <w:left w:w="60" w:type="dxa"/>
              <w:right w:w="60" w:type="dxa"/>
            </w:tcMar>
          </w:tcPr>
          <w:p>
            <w:r>
              <w:rPr>
                <w:b/>
                <w:color w:val="1E232A"/>
                <w:sz w:val="15"/>
              </w:rPr>
              <w:t>Quantum Acceleration</w:t>
            </w:r>
          </w:p>
        </w:tc>
        <w:tc>
          <w:tcPr>
            <w:tcW w:type="dxa" w:w="2509"/>
            <w:shd w:fill="F4F7FB"/>
            <w:tcMar>
              <w:top w:w="35" w:type="dxa"/>
              <w:bottom w:w="35" w:type="dxa"/>
              <w:left w:w="60" w:type="dxa"/>
              <w:right w:w="60" w:type="dxa"/>
            </w:tcMar>
          </w:tcPr>
          <w:p>
            <w:r>
              <w:rPr>
                <w:color w:val="1E232A"/>
                <w:sz w:val="15"/>
              </w:rPr>
              <w:t>Qiskit / NumPy Simulator</w:t>
            </w:r>
          </w:p>
        </w:tc>
        <w:tc>
          <w:tcPr>
            <w:tcW w:type="dxa" w:w="2509"/>
            <w:shd w:fill="F4F7FB"/>
            <w:tcMar>
              <w:top w:w="35" w:type="dxa"/>
              <w:bottom w:w="35" w:type="dxa"/>
              <w:left w:w="60" w:type="dxa"/>
              <w:right w:w="60" w:type="dxa"/>
            </w:tcMar>
          </w:tcPr>
          <w:p>
            <w:r>
              <w:rPr>
                <w:color w:val="1E232A"/>
                <w:sz w:val="15"/>
              </w:rPr>
              <w:t>v1.2.0</w:t>
            </w:r>
          </w:p>
        </w:tc>
        <w:tc>
          <w:tcPr>
            <w:tcW w:type="dxa" w:w="2509"/>
            <w:shd w:fill="F4F7FB"/>
            <w:tcMar>
              <w:top w:w="35" w:type="dxa"/>
              <w:bottom w:w="35" w:type="dxa"/>
              <w:left w:w="60" w:type="dxa"/>
              <w:right w:w="60" w:type="dxa"/>
            </w:tcMar>
          </w:tcPr>
          <w:p>
            <w:r>
              <w:rPr>
                <w:color w:val="1E232A"/>
                <w:sz w:val="15"/>
              </w:rPr>
              <w:t>Quantum Amplitude Estimation (QAE) circuits for tail-risk VaR</w:t>
            </w:r>
          </w:p>
        </w:tc>
      </w:tr>
      <w:tr>
        <w:tc>
          <w:tcPr>
            <w:tcW w:type="dxa" w:w="2509"/>
            <w:shd w:fill="FFFFFF"/>
            <w:tcMar>
              <w:top w:w="35" w:type="dxa"/>
              <w:bottom w:w="35" w:type="dxa"/>
              <w:left w:w="60" w:type="dxa"/>
              <w:right w:w="60" w:type="dxa"/>
            </w:tcMar>
          </w:tcPr>
          <w:p>
            <w:r>
              <w:rPr>
                <w:b/>
                <w:color w:val="1E232A"/>
                <w:sz w:val="15"/>
              </w:rPr>
              <w:t>Tensor Decompositions</w:t>
            </w:r>
          </w:p>
        </w:tc>
        <w:tc>
          <w:tcPr>
            <w:tcW w:type="dxa" w:w="2509"/>
            <w:shd w:fill="FFFFFF"/>
            <w:tcMar>
              <w:top w:w="35" w:type="dxa"/>
              <w:bottom w:w="35" w:type="dxa"/>
              <w:left w:w="60" w:type="dxa"/>
              <w:right w:w="60" w:type="dxa"/>
            </w:tcMar>
          </w:tcPr>
          <w:p>
            <w:r>
              <w:rPr>
                <w:color w:val="1E232A"/>
                <w:sz w:val="15"/>
              </w:rPr>
              <w:t>TensorLy / SciPy</w:t>
            </w:r>
          </w:p>
        </w:tc>
        <w:tc>
          <w:tcPr>
            <w:tcW w:type="dxa" w:w="2509"/>
            <w:shd w:fill="FFFFFF"/>
            <w:tcMar>
              <w:top w:w="35" w:type="dxa"/>
              <w:bottom w:w="35" w:type="dxa"/>
              <w:left w:w="60" w:type="dxa"/>
              <w:right w:w="60" w:type="dxa"/>
            </w:tcMar>
          </w:tcPr>
          <w:p>
            <w:r>
              <w:rPr>
                <w:color w:val="1E232A"/>
                <w:sz w:val="15"/>
              </w:rPr>
              <w:t>v0.8.1 / v1.13.0</w:t>
            </w:r>
          </w:p>
        </w:tc>
        <w:tc>
          <w:tcPr>
            <w:tcW w:type="dxa" w:w="2509"/>
            <w:shd w:fill="FFFFFF"/>
            <w:tcMar>
              <w:top w:w="35" w:type="dxa"/>
              <w:bottom w:w="35" w:type="dxa"/>
              <w:left w:w="60" w:type="dxa"/>
              <w:right w:w="60" w:type="dxa"/>
            </w:tcMar>
          </w:tcPr>
          <w:p>
            <w:r>
              <w:rPr>
                <w:color w:val="1E232A"/>
                <w:sz w:val="15"/>
              </w:rPr>
              <w:t>3D Tucker Higher-Order Singular Value Decomposition (HoSVD)</w:t>
            </w:r>
          </w:p>
        </w:tc>
      </w:tr>
      <w:tr>
        <w:tc>
          <w:tcPr>
            <w:tcW w:type="dxa" w:w="2509"/>
            <w:shd w:fill="F4F7FB"/>
            <w:tcMar>
              <w:top w:w="35" w:type="dxa"/>
              <w:bottom w:w="35" w:type="dxa"/>
              <w:left w:w="60" w:type="dxa"/>
              <w:right w:w="60" w:type="dxa"/>
            </w:tcMar>
          </w:tcPr>
          <w:p>
            <w:r>
              <w:rPr>
                <w:b/>
                <w:color w:val="1E232A"/>
                <w:sz w:val="15"/>
              </w:rPr>
              <w:t>Market Data Ingestion</w:t>
            </w:r>
          </w:p>
        </w:tc>
        <w:tc>
          <w:tcPr>
            <w:tcW w:type="dxa" w:w="2509"/>
            <w:shd w:fill="F4F7FB"/>
            <w:tcMar>
              <w:top w:w="35" w:type="dxa"/>
              <w:bottom w:w="35" w:type="dxa"/>
              <w:left w:w="60" w:type="dxa"/>
              <w:right w:w="60" w:type="dxa"/>
            </w:tcMar>
          </w:tcPr>
          <w:p>
            <w:r>
              <w:rPr>
                <w:color w:val="1E232A"/>
                <w:sz w:val="15"/>
              </w:rPr>
              <w:t>yfinance / Pandas</w:t>
            </w:r>
          </w:p>
        </w:tc>
        <w:tc>
          <w:tcPr>
            <w:tcW w:type="dxa" w:w="2509"/>
            <w:shd w:fill="F4F7FB"/>
            <w:tcMar>
              <w:top w:w="35" w:type="dxa"/>
              <w:bottom w:w="35" w:type="dxa"/>
              <w:left w:w="60" w:type="dxa"/>
              <w:right w:w="60" w:type="dxa"/>
            </w:tcMar>
          </w:tcPr>
          <w:p>
            <w:r>
              <w:rPr>
                <w:color w:val="1E232A"/>
                <w:sz w:val="15"/>
              </w:rPr>
              <w:t>v0.2.40 / v2.2.2</w:t>
            </w:r>
          </w:p>
        </w:tc>
        <w:tc>
          <w:tcPr>
            <w:tcW w:type="dxa" w:w="2509"/>
            <w:shd w:fill="F4F7FB"/>
            <w:tcMar>
              <w:top w:w="35" w:type="dxa"/>
              <w:bottom w:w="35" w:type="dxa"/>
              <w:left w:w="60" w:type="dxa"/>
              <w:right w:w="60" w:type="dxa"/>
            </w:tcMar>
          </w:tcPr>
          <w:p>
            <w:r>
              <w:rPr>
                <w:color w:val="1E232A"/>
                <w:sz w:val="15"/>
              </w:rPr>
              <w:t>Multi-threaded batch fetching with 60s TTL memory caching</w:t>
            </w:r>
          </w:p>
        </w:tc>
      </w:tr>
      <w:tr>
        <w:tc>
          <w:tcPr>
            <w:tcW w:type="dxa" w:w="2509"/>
            <w:shd w:fill="FFFFFF"/>
            <w:tcMar>
              <w:top w:w="35" w:type="dxa"/>
              <w:bottom w:w="35" w:type="dxa"/>
              <w:left w:w="60" w:type="dxa"/>
              <w:right w:w="60" w:type="dxa"/>
            </w:tcMar>
          </w:tcPr>
          <w:p>
            <w:r>
              <w:rPr>
                <w:b/>
                <w:color w:val="1E232A"/>
                <w:sz w:val="15"/>
              </w:rPr>
              <w:t>Multimodal Intelligence</w:t>
            </w:r>
          </w:p>
        </w:tc>
        <w:tc>
          <w:tcPr>
            <w:tcW w:type="dxa" w:w="2509"/>
            <w:shd w:fill="FFFFFF"/>
            <w:tcMar>
              <w:top w:w="35" w:type="dxa"/>
              <w:bottom w:w="35" w:type="dxa"/>
              <w:left w:w="60" w:type="dxa"/>
              <w:right w:w="60" w:type="dxa"/>
            </w:tcMar>
          </w:tcPr>
          <w:p>
            <w:r>
              <w:rPr>
                <w:color w:val="1E232A"/>
                <w:sz w:val="15"/>
              </w:rPr>
              <w:t>Gemini 2.5 Flash / Groq LLM</w:t>
            </w:r>
          </w:p>
        </w:tc>
        <w:tc>
          <w:tcPr>
            <w:tcW w:type="dxa" w:w="2509"/>
            <w:shd w:fill="FFFFFF"/>
            <w:tcMar>
              <w:top w:w="35" w:type="dxa"/>
              <w:bottom w:w="35" w:type="dxa"/>
              <w:left w:w="60" w:type="dxa"/>
              <w:right w:w="60" w:type="dxa"/>
            </w:tcMar>
          </w:tcPr>
          <w:p>
            <w:r>
              <w:rPr>
                <w:color w:val="1E232A"/>
                <w:sz w:val="15"/>
              </w:rPr>
              <w:t>Latest REST API</w:t>
            </w:r>
          </w:p>
        </w:tc>
        <w:tc>
          <w:tcPr>
            <w:tcW w:type="dxa" w:w="2509"/>
            <w:shd w:fill="FFFFFF"/>
            <w:tcMar>
              <w:top w:w="35" w:type="dxa"/>
              <w:bottom w:w="35" w:type="dxa"/>
              <w:left w:w="60" w:type="dxa"/>
              <w:right w:w="60" w:type="dxa"/>
            </w:tcMar>
          </w:tcPr>
          <w:p>
            <w:r>
              <w:rPr>
                <w:color w:val="1E232A"/>
                <w:sz w:val="15"/>
              </w:rPr>
              <w:t>Natural language financial co-pilot and plain-language explanation</w:t>
            </w:r>
          </w:p>
        </w:tc>
      </w:tr>
    </w:tbl>
    <w:p>
      <w:pPr>
        <w:spacing w:before="120" w:after="80" w:line="276" w:lineRule="auto"/>
        <w:jc w:val="left"/>
      </w:pPr>
      <w:r>
        <w:rPr>
          <w:rFonts w:ascii="Times New Roman" w:hAnsi="Times New Roman"/>
          <w:b w:val="0"/>
          <w:i w:val="0"/>
          <w:color w:val="1E232A"/>
          <w:sz w:val="20"/>
        </w:rPr>
      </w:r>
    </w:p>
    <w:p>
      <w:pPr>
        <w:spacing w:before="0" w:after="60" w:line="276" w:lineRule="auto"/>
        <w:jc w:val="left"/>
      </w:pPr>
      <w:r>
        <w:rPr>
          <w:rFonts w:ascii="Times New Roman" w:hAnsi="Times New Roman"/>
          <w:b/>
          <w:i w:val="0"/>
          <w:color w:val="0F2A4A"/>
          <w:sz w:val="18"/>
        </w:rPr>
        <w:t>Table 4: Algorithmic Calibration, Hyperparameters &amp; Model Configuration</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2509"/>
        <w:gridCol w:w="2509"/>
        <w:gridCol w:w="2509"/>
        <w:gridCol w:w="2509"/>
      </w:tblGrid>
      <w:tr>
        <w:tc>
          <w:tcPr>
            <w:tcW w:type="dxa" w:w="2509"/>
            <w:shd w:fill="0F2A4A"/>
            <w:tcMar>
              <w:top w:w="50" w:type="dxa"/>
              <w:bottom w:w="50" w:type="dxa"/>
              <w:left w:w="70" w:type="dxa"/>
              <w:right w:w="70" w:type="dxa"/>
            </w:tcMar>
          </w:tcPr>
          <w:p>
            <w:r>
              <w:rPr>
                <w:b/>
                <w:color w:val="FFFFFF"/>
                <w:sz w:val="16"/>
              </w:rPr>
              <w:t>Parameter Name</w:t>
            </w:r>
          </w:p>
        </w:tc>
        <w:tc>
          <w:tcPr>
            <w:tcW w:type="dxa" w:w="2509"/>
            <w:shd w:fill="0F2A4A"/>
            <w:tcMar>
              <w:top w:w="50" w:type="dxa"/>
              <w:bottom w:w="50" w:type="dxa"/>
              <w:left w:w="70" w:type="dxa"/>
              <w:right w:w="70" w:type="dxa"/>
            </w:tcMar>
          </w:tcPr>
          <w:p>
            <w:r>
              <w:rPr>
                <w:b/>
                <w:color w:val="FFFFFF"/>
                <w:sz w:val="16"/>
              </w:rPr>
              <w:t>Symbol / Variable</w:t>
            </w:r>
          </w:p>
        </w:tc>
        <w:tc>
          <w:tcPr>
            <w:tcW w:type="dxa" w:w="2509"/>
            <w:shd w:fill="0F2A4A"/>
            <w:tcMar>
              <w:top w:w="50" w:type="dxa"/>
              <w:bottom w:w="50" w:type="dxa"/>
              <w:left w:w="70" w:type="dxa"/>
              <w:right w:w="70" w:type="dxa"/>
            </w:tcMar>
          </w:tcPr>
          <w:p>
            <w:r>
              <w:rPr>
                <w:b/>
                <w:color w:val="FFFFFF"/>
                <w:sz w:val="16"/>
              </w:rPr>
              <w:t>Calibrated Value</w:t>
            </w:r>
          </w:p>
        </w:tc>
        <w:tc>
          <w:tcPr>
            <w:tcW w:type="dxa" w:w="2509"/>
            <w:shd w:fill="0F2A4A"/>
            <w:tcMar>
              <w:top w:w="50" w:type="dxa"/>
              <w:bottom w:w="50" w:type="dxa"/>
              <w:left w:w="70" w:type="dxa"/>
              <w:right w:w="70" w:type="dxa"/>
            </w:tcMar>
          </w:tcPr>
          <w:p>
            <w:r>
              <w:rPr>
                <w:b/>
                <w:color w:val="FFFFFF"/>
                <w:sz w:val="16"/>
              </w:rPr>
              <w:t>Mathematical &amp; Operational Rationale</w:t>
            </w:r>
          </w:p>
        </w:tc>
      </w:tr>
      <w:tr>
        <w:tc>
          <w:tcPr>
            <w:tcW w:type="dxa" w:w="2509"/>
            <w:shd w:fill="FFFFFF"/>
            <w:tcMar>
              <w:top w:w="35" w:type="dxa"/>
              <w:bottom w:w="35" w:type="dxa"/>
              <w:left w:w="60" w:type="dxa"/>
              <w:right w:w="60" w:type="dxa"/>
            </w:tcMar>
          </w:tcPr>
          <w:p>
            <w:r>
              <w:rPr>
                <w:b/>
                <w:color w:val="1E232A"/>
                <w:sz w:val="15"/>
              </w:rPr>
              <w:t>L1 Regularization Penalty</w:t>
            </w:r>
          </w:p>
        </w:tc>
        <w:tc>
          <w:tcPr>
            <w:tcW w:type="dxa" w:w="2509"/>
            <w:shd w:fill="FFFFFF"/>
            <w:tcMar>
              <w:top w:w="35" w:type="dxa"/>
              <w:bottom w:w="35" w:type="dxa"/>
              <w:left w:w="60" w:type="dxa"/>
              <w:right w:w="60" w:type="dxa"/>
            </w:tcMar>
          </w:tcPr>
          <w:p>
            <w:r>
              <w:rPr>
                <w:color w:val="1E232A"/>
                <w:sz w:val="15"/>
              </w:rPr>
              <w:t>lambda</w:t>
            </w:r>
          </w:p>
        </w:tc>
        <w:tc>
          <w:tcPr>
            <w:tcW w:type="dxa" w:w="2509"/>
            <w:shd w:fill="FFFFFF"/>
            <w:tcMar>
              <w:top w:w="35" w:type="dxa"/>
              <w:bottom w:w="35" w:type="dxa"/>
              <w:left w:w="60" w:type="dxa"/>
              <w:right w:w="60" w:type="dxa"/>
            </w:tcMar>
          </w:tcPr>
          <w:p>
            <w:r>
              <w:rPr>
                <w:color w:val="1E232A"/>
                <w:sz w:val="15"/>
              </w:rPr>
              <w:t>0.080 - 0.150</w:t>
            </w:r>
          </w:p>
        </w:tc>
        <w:tc>
          <w:tcPr>
            <w:tcW w:type="dxa" w:w="2509"/>
            <w:shd w:fill="FFFFFF"/>
            <w:tcMar>
              <w:top w:w="35" w:type="dxa"/>
              <w:bottom w:w="35" w:type="dxa"/>
              <w:left w:w="60" w:type="dxa"/>
              <w:right w:w="60" w:type="dxa"/>
            </w:tcMar>
          </w:tcPr>
          <w:p>
            <w:r>
              <w:rPr>
                <w:color w:val="1E232A"/>
                <w:sz w:val="15"/>
              </w:rPr>
              <w:t>Promotes sparsity, selecting 5-8 assets from 25 candidates</w:t>
            </w:r>
          </w:p>
        </w:tc>
      </w:tr>
      <w:tr>
        <w:tc>
          <w:tcPr>
            <w:tcW w:type="dxa" w:w="2509"/>
            <w:shd w:fill="F4F7FB"/>
            <w:tcMar>
              <w:top w:w="35" w:type="dxa"/>
              <w:bottom w:w="35" w:type="dxa"/>
              <w:left w:w="60" w:type="dxa"/>
              <w:right w:w="60" w:type="dxa"/>
            </w:tcMar>
          </w:tcPr>
          <w:p>
            <w:r>
              <w:rPr>
                <w:b/>
                <w:color w:val="1E232A"/>
                <w:sz w:val="15"/>
              </w:rPr>
              <w:t>Risk Aversion Coefficient</w:t>
            </w:r>
          </w:p>
        </w:tc>
        <w:tc>
          <w:tcPr>
            <w:tcW w:type="dxa" w:w="2509"/>
            <w:shd w:fill="F4F7FB"/>
            <w:tcMar>
              <w:top w:w="35" w:type="dxa"/>
              <w:bottom w:w="35" w:type="dxa"/>
              <w:left w:w="60" w:type="dxa"/>
              <w:right w:w="60" w:type="dxa"/>
            </w:tcMar>
          </w:tcPr>
          <w:p>
            <w:r>
              <w:rPr>
                <w:color w:val="1E232A"/>
                <w:sz w:val="15"/>
              </w:rPr>
              <w:t>gamma</w:t>
            </w:r>
          </w:p>
        </w:tc>
        <w:tc>
          <w:tcPr>
            <w:tcW w:type="dxa" w:w="2509"/>
            <w:shd w:fill="F4F7FB"/>
            <w:tcMar>
              <w:top w:w="35" w:type="dxa"/>
              <w:bottom w:w="35" w:type="dxa"/>
              <w:left w:w="60" w:type="dxa"/>
              <w:right w:w="60" w:type="dxa"/>
            </w:tcMar>
          </w:tcPr>
          <w:p>
            <w:r>
              <w:rPr>
                <w:color w:val="1E232A"/>
                <w:sz w:val="15"/>
              </w:rPr>
              <w:t>1.0 / 2.5 / 5.0</w:t>
            </w:r>
          </w:p>
        </w:tc>
        <w:tc>
          <w:tcPr>
            <w:tcW w:type="dxa" w:w="2509"/>
            <w:shd w:fill="F4F7FB"/>
            <w:tcMar>
              <w:top w:w="35" w:type="dxa"/>
              <w:bottom w:w="35" w:type="dxa"/>
              <w:left w:w="60" w:type="dxa"/>
              <w:right w:w="60" w:type="dxa"/>
            </w:tcMar>
          </w:tcPr>
          <w:p>
            <w:r>
              <w:rPr>
                <w:color w:val="1E232A"/>
                <w:sz w:val="15"/>
              </w:rPr>
              <w:t>Controls risk tolerance for Aggressive, Moderate, Conservative</w:t>
            </w:r>
          </w:p>
        </w:tc>
      </w:tr>
      <w:tr>
        <w:tc>
          <w:tcPr>
            <w:tcW w:type="dxa" w:w="2509"/>
            <w:shd w:fill="FFFFFF"/>
            <w:tcMar>
              <w:top w:w="35" w:type="dxa"/>
              <w:bottom w:w="35" w:type="dxa"/>
              <w:left w:w="60" w:type="dxa"/>
              <w:right w:w="60" w:type="dxa"/>
            </w:tcMar>
          </w:tcPr>
          <w:p>
            <w:r>
              <w:rPr>
                <w:b/>
                <w:color w:val="1E232A"/>
                <w:sz w:val="15"/>
              </w:rPr>
              <w:t>HMM Number of States</w:t>
            </w:r>
          </w:p>
        </w:tc>
        <w:tc>
          <w:tcPr>
            <w:tcW w:type="dxa" w:w="2509"/>
            <w:shd w:fill="FFFFFF"/>
            <w:tcMar>
              <w:top w:w="35" w:type="dxa"/>
              <w:bottom w:w="35" w:type="dxa"/>
              <w:left w:w="60" w:type="dxa"/>
              <w:right w:w="60" w:type="dxa"/>
            </w:tcMar>
          </w:tcPr>
          <w:p>
            <w:r>
              <w:rPr>
                <w:color w:val="1E232A"/>
                <w:sz w:val="15"/>
              </w:rPr>
              <w:t>K</w:t>
            </w:r>
          </w:p>
        </w:tc>
        <w:tc>
          <w:tcPr>
            <w:tcW w:type="dxa" w:w="2509"/>
            <w:shd w:fill="FFFFFF"/>
            <w:tcMar>
              <w:top w:w="35" w:type="dxa"/>
              <w:bottom w:w="35" w:type="dxa"/>
              <w:left w:w="60" w:type="dxa"/>
              <w:right w:w="60" w:type="dxa"/>
            </w:tcMar>
          </w:tcPr>
          <w:p>
            <w:r>
              <w:rPr>
                <w:color w:val="1E232A"/>
                <w:sz w:val="15"/>
              </w:rPr>
              <w:t>3 States</w:t>
            </w:r>
          </w:p>
        </w:tc>
        <w:tc>
          <w:tcPr>
            <w:tcW w:type="dxa" w:w="2509"/>
            <w:shd w:fill="FFFFFF"/>
            <w:tcMar>
              <w:top w:w="35" w:type="dxa"/>
              <w:bottom w:w="35" w:type="dxa"/>
              <w:left w:w="60" w:type="dxa"/>
              <w:right w:w="60" w:type="dxa"/>
            </w:tcMar>
          </w:tcPr>
          <w:p>
            <w:r>
              <w:rPr>
                <w:color w:val="1E232A"/>
                <w:sz w:val="15"/>
              </w:rPr>
              <w:t>Captures Bullish (Low Vol), Sideways (Chop), Bearish (High Vol)</w:t>
            </w:r>
          </w:p>
        </w:tc>
      </w:tr>
      <w:tr>
        <w:tc>
          <w:tcPr>
            <w:tcW w:type="dxa" w:w="2509"/>
            <w:shd w:fill="F4F7FB"/>
            <w:tcMar>
              <w:top w:w="35" w:type="dxa"/>
              <w:bottom w:w="35" w:type="dxa"/>
              <w:left w:w="60" w:type="dxa"/>
              <w:right w:w="60" w:type="dxa"/>
            </w:tcMar>
          </w:tcPr>
          <w:p>
            <w:r>
              <w:rPr>
                <w:b/>
                <w:color w:val="1E232A"/>
                <w:sz w:val="15"/>
              </w:rPr>
              <w:t>HMM EM Convergence Tol</w:t>
            </w:r>
          </w:p>
        </w:tc>
        <w:tc>
          <w:tcPr>
            <w:tcW w:type="dxa" w:w="2509"/>
            <w:shd w:fill="F4F7FB"/>
            <w:tcMar>
              <w:top w:w="35" w:type="dxa"/>
              <w:bottom w:w="35" w:type="dxa"/>
              <w:left w:w="60" w:type="dxa"/>
              <w:right w:w="60" w:type="dxa"/>
            </w:tcMar>
          </w:tcPr>
          <w:p>
            <w:r>
              <w:rPr>
                <w:color w:val="1E232A"/>
                <w:sz w:val="15"/>
              </w:rPr>
              <w:t>tol</w:t>
            </w:r>
          </w:p>
        </w:tc>
        <w:tc>
          <w:tcPr>
            <w:tcW w:type="dxa" w:w="2509"/>
            <w:shd w:fill="F4F7FB"/>
            <w:tcMar>
              <w:top w:w="35" w:type="dxa"/>
              <w:bottom w:w="35" w:type="dxa"/>
              <w:left w:w="60" w:type="dxa"/>
              <w:right w:w="60" w:type="dxa"/>
            </w:tcMar>
          </w:tcPr>
          <w:p>
            <w:r>
              <w:rPr>
                <w:color w:val="1E232A"/>
                <w:sz w:val="15"/>
              </w:rPr>
              <w:t>1e-4 (max 100 iter)</w:t>
            </w:r>
          </w:p>
        </w:tc>
        <w:tc>
          <w:tcPr>
            <w:tcW w:type="dxa" w:w="2509"/>
            <w:shd w:fill="F4F7FB"/>
            <w:tcMar>
              <w:top w:w="35" w:type="dxa"/>
              <w:bottom w:w="35" w:type="dxa"/>
              <w:left w:w="60" w:type="dxa"/>
              <w:right w:w="60" w:type="dxa"/>
            </w:tcMar>
          </w:tcPr>
          <w:p>
            <w:r>
              <w:rPr>
                <w:color w:val="1E232A"/>
                <w:sz w:val="15"/>
              </w:rPr>
              <w:t>Ensures numerical stability during Baum-Welch optimization</w:t>
            </w:r>
          </w:p>
        </w:tc>
      </w:tr>
      <w:tr>
        <w:tc>
          <w:tcPr>
            <w:tcW w:type="dxa" w:w="2509"/>
            <w:shd w:fill="FFFFFF"/>
            <w:tcMar>
              <w:top w:w="35" w:type="dxa"/>
              <w:bottom w:w="35" w:type="dxa"/>
              <w:left w:w="60" w:type="dxa"/>
              <w:right w:w="60" w:type="dxa"/>
            </w:tcMar>
          </w:tcPr>
          <w:p>
            <w:r>
              <w:rPr>
                <w:b/>
                <w:color w:val="1E232A"/>
                <w:sz w:val="15"/>
              </w:rPr>
              <w:t>QAE Quantum Evaluation Qubits</w:t>
            </w:r>
          </w:p>
        </w:tc>
        <w:tc>
          <w:tcPr>
            <w:tcW w:type="dxa" w:w="2509"/>
            <w:shd w:fill="FFFFFF"/>
            <w:tcMar>
              <w:top w:w="35" w:type="dxa"/>
              <w:bottom w:w="35" w:type="dxa"/>
              <w:left w:w="60" w:type="dxa"/>
              <w:right w:w="60" w:type="dxa"/>
            </w:tcMar>
          </w:tcPr>
          <w:p>
            <w:r>
              <w:rPr>
                <w:color w:val="1E232A"/>
                <w:sz w:val="15"/>
              </w:rPr>
              <w:t>m</w:t>
            </w:r>
          </w:p>
        </w:tc>
        <w:tc>
          <w:tcPr>
            <w:tcW w:type="dxa" w:w="2509"/>
            <w:shd w:fill="FFFFFF"/>
            <w:tcMar>
              <w:top w:w="35" w:type="dxa"/>
              <w:bottom w:w="35" w:type="dxa"/>
              <w:left w:w="60" w:type="dxa"/>
              <w:right w:w="60" w:type="dxa"/>
            </w:tcMar>
          </w:tcPr>
          <w:p>
            <w:r>
              <w:rPr>
                <w:color w:val="1E232A"/>
                <w:sz w:val="15"/>
              </w:rPr>
              <w:t>8 Qubits</w:t>
            </w:r>
          </w:p>
        </w:tc>
        <w:tc>
          <w:tcPr>
            <w:tcW w:type="dxa" w:w="2509"/>
            <w:shd w:fill="FFFFFF"/>
            <w:tcMar>
              <w:top w:w="35" w:type="dxa"/>
              <w:bottom w:w="35" w:type="dxa"/>
              <w:left w:w="60" w:type="dxa"/>
              <w:right w:w="60" w:type="dxa"/>
            </w:tcMar>
          </w:tcPr>
          <w:p>
            <w:r>
              <w:rPr>
                <w:color w:val="1E232A"/>
                <w:sz w:val="15"/>
              </w:rPr>
              <w:t>Provides 256 quantum amplitude discrete estimation bins</w:t>
            </w:r>
          </w:p>
        </w:tc>
      </w:tr>
      <w:tr>
        <w:tc>
          <w:tcPr>
            <w:tcW w:type="dxa" w:w="2509"/>
            <w:shd w:fill="F4F7FB"/>
            <w:tcMar>
              <w:top w:w="35" w:type="dxa"/>
              <w:bottom w:w="35" w:type="dxa"/>
              <w:left w:w="60" w:type="dxa"/>
              <w:right w:w="60" w:type="dxa"/>
            </w:tcMar>
          </w:tcPr>
          <w:p>
            <w:r>
              <w:rPr>
                <w:b/>
                <w:color w:val="1E232A"/>
                <w:sz w:val="15"/>
              </w:rPr>
              <w:t>Data Lookback Window</w:t>
            </w:r>
          </w:p>
        </w:tc>
        <w:tc>
          <w:tcPr>
            <w:tcW w:type="dxa" w:w="2509"/>
            <w:shd w:fill="F4F7FB"/>
            <w:tcMar>
              <w:top w:w="35" w:type="dxa"/>
              <w:bottom w:w="35" w:type="dxa"/>
              <w:left w:w="60" w:type="dxa"/>
              <w:right w:w="60" w:type="dxa"/>
            </w:tcMar>
          </w:tcPr>
          <w:p>
            <w:r>
              <w:rPr>
                <w:color w:val="1E232A"/>
                <w:sz w:val="15"/>
              </w:rPr>
              <w:t>T</w:t>
            </w:r>
          </w:p>
        </w:tc>
        <w:tc>
          <w:tcPr>
            <w:tcW w:type="dxa" w:w="2509"/>
            <w:shd w:fill="F4F7FB"/>
            <w:tcMar>
              <w:top w:w="35" w:type="dxa"/>
              <w:bottom w:w="35" w:type="dxa"/>
              <w:left w:w="60" w:type="dxa"/>
              <w:right w:w="60" w:type="dxa"/>
            </w:tcMar>
          </w:tcPr>
          <w:p>
            <w:r>
              <w:rPr>
                <w:color w:val="1E232A"/>
                <w:sz w:val="15"/>
              </w:rPr>
              <w:t>252 Trading Days</w:t>
            </w:r>
          </w:p>
        </w:tc>
        <w:tc>
          <w:tcPr>
            <w:tcW w:type="dxa" w:w="2509"/>
            <w:shd w:fill="F4F7FB"/>
            <w:tcMar>
              <w:top w:w="35" w:type="dxa"/>
              <w:bottom w:w="35" w:type="dxa"/>
              <w:left w:w="60" w:type="dxa"/>
              <w:right w:w="60" w:type="dxa"/>
            </w:tcMar>
          </w:tcPr>
          <w:p>
            <w:r>
              <w:rPr>
                <w:color w:val="1E232A"/>
                <w:sz w:val="15"/>
              </w:rPr>
              <w:t>1-year rolling daily return history for covariance estimation</w:t>
            </w:r>
          </w:p>
        </w:tc>
      </w:tr>
    </w:tbl>
    <w:p>
      <w:pPr>
        <w:spacing w:before="120" w:after="80" w:line="276" w:lineRule="auto"/>
        <w:jc w:val="left"/>
      </w:pPr>
      <w:r>
        <w:rPr>
          <w:rFonts w:ascii="Times New Roman" w:hAnsi="Times New Roman"/>
          <w:b w:val="0"/>
          <w:i w:val="0"/>
          <w:color w:val="1E232A"/>
          <w:sz w:val="20"/>
        </w:rPr>
      </w:r>
    </w:p>
    <w:p>
      <w:pPr>
        <w:spacing w:before="0" w:after="60" w:line="276" w:lineRule="auto"/>
        <w:jc w:val="left"/>
      </w:pPr>
      <w:r>
        <w:rPr>
          <w:rFonts w:ascii="Times New Roman" w:hAnsi="Times New Roman"/>
          <w:b/>
          <w:i w:val="0"/>
          <w:color w:val="0F2A4A"/>
          <w:sz w:val="18"/>
        </w:rPr>
        <w:t>Table 5: Quantitative Empirical Performance: SparsioQ vs. Benchmarks (2024–2026 Historical Backtest)</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1673"/>
        <w:gridCol w:w="1673"/>
        <w:gridCol w:w="1673"/>
        <w:gridCol w:w="1673"/>
        <w:gridCol w:w="1673"/>
        <w:gridCol w:w="1673"/>
      </w:tblGrid>
      <w:tr>
        <w:tc>
          <w:tcPr>
            <w:tcW w:type="dxa" w:w="1673"/>
            <w:shd w:fill="0F2A4A"/>
            <w:tcMar>
              <w:top w:w="50" w:type="dxa"/>
              <w:bottom w:w="50" w:type="dxa"/>
              <w:left w:w="70" w:type="dxa"/>
              <w:right w:w="70" w:type="dxa"/>
            </w:tcMar>
          </w:tcPr>
          <w:p>
            <w:r>
              <w:rPr>
                <w:b/>
                <w:color w:val="FFFFFF"/>
                <w:sz w:val="16"/>
              </w:rPr>
              <w:t>Strategy / Portfolio Model</w:t>
            </w:r>
          </w:p>
        </w:tc>
        <w:tc>
          <w:tcPr>
            <w:tcW w:type="dxa" w:w="1673"/>
            <w:shd w:fill="0F2A4A"/>
            <w:tcMar>
              <w:top w:w="50" w:type="dxa"/>
              <w:bottom w:w="50" w:type="dxa"/>
              <w:left w:w="70" w:type="dxa"/>
              <w:right w:w="70" w:type="dxa"/>
            </w:tcMar>
          </w:tcPr>
          <w:p>
            <w:r>
              <w:rPr>
                <w:b/>
                <w:color w:val="FFFFFF"/>
                <w:sz w:val="16"/>
              </w:rPr>
              <w:t>Ann. Return</w:t>
            </w:r>
          </w:p>
        </w:tc>
        <w:tc>
          <w:tcPr>
            <w:tcW w:type="dxa" w:w="1673"/>
            <w:shd w:fill="0F2A4A"/>
            <w:tcMar>
              <w:top w:w="50" w:type="dxa"/>
              <w:bottom w:w="50" w:type="dxa"/>
              <w:left w:w="70" w:type="dxa"/>
              <w:right w:w="70" w:type="dxa"/>
            </w:tcMar>
          </w:tcPr>
          <w:p>
            <w:r>
              <w:rPr>
                <w:b/>
                <w:color w:val="FFFFFF"/>
                <w:sz w:val="16"/>
              </w:rPr>
              <w:t>Ann. Volatility</w:t>
            </w:r>
          </w:p>
        </w:tc>
        <w:tc>
          <w:tcPr>
            <w:tcW w:type="dxa" w:w="1673"/>
            <w:shd w:fill="0F2A4A"/>
            <w:tcMar>
              <w:top w:w="50" w:type="dxa"/>
              <w:bottom w:w="50" w:type="dxa"/>
              <w:left w:w="70" w:type="dxa"/>
              <w:right w:w="70" w:type="dxa"/>
            </w:tcMar>
          </w:tcPr>
          <w:p>
            <w:r>
              <w:rPr>
                <w:b/>
                <w:color w:val="FFFFFF"/>
                <w:sz w:val="16"/>
              </w:rPr>
              <w:t>Sharpe Ratio</w:t>
            </w:r>
          </w:p>
        </w:tc>
        <w:tc>
          <w:tcPr>
            <w:tcW w:type="dxa" w:w="1673"/>
            <w:shd w:fill="0F2A4A"/>
            <w:tcMar>
              <w:top w:w="50" w:type="dxa"/>
              <w:bottom w:w="50" w:type="dxa"/>
              <w:left w:w="70" w:type="dxa"/>
              <w:right w:w="70" w:type="dxa"/>
            </w:tcMar>
          </w:tcPr>
          <w:p>
            <w:r>
              <w:rPr>
                <w:b/>
                <w:color w:val="FFFFFF"/>
                <w:sz w:val="16"/>
              </w:rPr>
              <w:t>Max Drawdown</w:t>
            </w:r>
          </w:p>
        </w:tc>
        <w:tc>
          <w:tcPr>
            <w:tcW w:type="dxa" w:w="1673"/>
            <w:shd w:fill="0F2A4A"/>
            <w:tcMar>
              <w:top w:w="50" w:type="dxa"/>
              <w:bottom w:w="50" w:type="dxa"/>
              <w:left w:w="70" w:type="dxa"/>
              <w:right w:w="70" w:type="dxa"/>
            </w:tcMar>
          </w:tcPr>
          <w:p>
            <w:r>
              <w:rPr>
                <w:b/>
                <w:color w:val="FFFFFF"/>
                <w:sz w:val="16"/>
              </w:rPr>
              <w:t>Active Holdings</w:t>
            </w:r>
          </w:p>
        </w:tc>
      </w:tr>
      <w:tr>
        <w:tc>
          <w:tcPr>
            <w:tcW w:type="dxa" w:w="1673"/>
            <w:shd w:fill="FFFFFF"/>
            <w:tcMar>
              <w:top w:w="35" w:type="dxa"/>
              <w:bottom w:w="35" w:type="dxa"/>
              <w:left w:w="60" w:type="dxa"/>
              <w:right w:w="60" w:type="dxa"/>
            </w:tcMar>
          </w:tcPr>
          <w:p>
            <w:r>
              <w:rPr>
                <w:b/>
                <w:color w:val="1E232A"/>
                <w:sz w:val="15"/>
              </w:rPr>
              <w:t>NIFTY 50 Equal-Weight Benchmark</w:t>
            </w:r>
          </w:p>
        </w:tc>
        <w:tc>
          <w:tcPr>
            <w:tcW w:type="dxa" w:w="1673"/>
            <w:shd w:fill="FFFFFF"/>
            <w:tcMar>
              <w:top w:w="35" w:type="dxa"/>
              <w:bottom w:w="35" w:type="dxa"/>
              <w:left w:w="60" w:type="dxa"/>
              <w:right w:w="60" w:type="dxa"/>
            </w:tcMar>
          </w:tcPr>
          <w:p>
            <w:r>
              <w:rPr>
                <w:color w:val="1E232A"/>
                <w:sz w:val="15"/>
              </w:rPr>
              <w:t>13.4%</w:t>
            </w:r>
          </w:p>
        </w:tc>
        <w:tc>
          <w:tcPr>
            <w:tcW w:type="dxa" w:w="1673"/>
            <w:shd w:fill="FFFFFF"/>
            <w:tcMar>
              <w:top w:w="35" w:type="dxa"/>
              <w:bottom w:w="35" w:type="dxa"/>
              <w:left w:w="60" w:type="dxa"/>
              <w:right w:w="60" w:type="dxa"/>
            </w:tcMar>
          </w:tcPr>
          <w:p>
            <w:r>
              <w:rPr>
                <w:color w:val="1E232A"/>
                <w:sz w:val="15"/>
              </w:rPr>
              <w:t>16.8%</w:t>
            </w:r>
          </w:p>
        </w:tc>
        <w:tc>
          <w:tcPr>
            <w:tcW w:type="dxa" w:w="1673"/>
            <w:shd w:fill="FFFFFF"/>
            <w:tcMar>
              <w:top w:w="35" w:type="dxa"/>
              <w:bottom w:w="35" w:type="dxa"/>
              <w:left w:w="60" w:type="dxa"/>
              <w:right w:w="60" w:type="dxa"/>
            </w:tcMar>
          </w:tcPr>
          <w:p>
            <w:r>
              <w:rPr>
                <w:color w:val="1E232A"/>
                <w:sz w:val="15"/>
              </w:rPr>
              <w:t>0.79</w:t>
            </w:r>
          </w:p>
        </w:tc>
        <w:tc>
          <w:tcPr>
            <w:tcW w:type="dxa" w:w="1673"/>
            <w:shd w:fill="FFFFFF"/>
            <w:tcMar>
              <w:top w:w="35" w:type="dxa"/>
              <w:bottom w:w="35" w:type="dxa"/>
              <w:left w:w="60" w:type="dxa"/>
              <w:right w:w="60" w:type="dxa"/>
            </w:tcMar>
          </w:tcPr>
          <w:p>
            <w:r>
              <w:rPr>
                <w:color w:val="1E232A"/>
                <w:sz w:val="15"/>
              </w:rPr>
              <w:t>-21.4%</w:t>
            </w:r>
          </w:p>
        </w:tc>
        <w:tc>
          <w:tcPr>
            <w:tcW w:type="dxa" w:w="1673"/>
            <w:shd w:fill="FFFFFF"/>
            <w:tcMar>
              <w:top w:w="35" w:type="dxa"/>
              <w:bottom w:w="35" w:type="dxa"/>
              <w:left w:w="60" w:type="dxa"/>
              <w:right w:w="60" w:type="dxa"/>
            </w:tcMar>
          </w:tcPr>
          <w:p>
            <w:r>
              <w:rPr>
                <w:color w:val="1E232A"/>
                <w:sz w:val="15"/>
              </w:rPr>
              <w:t>50 Assets</w:t>
            </w:r>
          </w:p>
        </w:tc>
      </w:tr>
      <w:tr>
        <w:tc>
          <w:tcPr>
            <w:tcW w:type="dxa" w:w="1673"/>
            <w:shd w:fill="F4F7FB"/>
            <w:tcMar>
              <w:top w:w="35" w:type="dxa"/>
              <w:bottom w:w="35" w:type="dxa"/>
              <w:left w:w="60" w:type="dxa"/>
              <w:right w:w="60" w:type="dxa"/>
            </w:tcMar>
          </w:tcPr>
          <w:p>
            <w:r>
              <w:rPr>
                <w:b/>
                <w:color w:val="1E232A"/>
                <w:sz w:val="15"/>
              </w:rPr>
              <w:t>Unconstrained Markowitz (CVXOPT)</w:t>
            </w:r>
          </w:p>
        </w:tc>
        <w:tc>
          <w:tcPr>
            <w:tcW w:type="dxa" w:w="1673"/>
            <w:shd w:fill="F4F7FB"/>
            <w:tcMar>
              <w:top w:w="35" w:type="dxa"/>
              <w:bottom w:w="35" w:type="dxa"/>
              <w:left w:w="60" w:type="dxa"/>
              <w:right w:w="60" w:type="dxa"/>
            </w:tcMar>
          </w:tcPr>
          <w:p>
            <w:r>
              <w:rPr>
                <w:color w:val="1E232A"/>
                <w:sz w:val="15"/>
              </w:rPr>
              <w:t>18.2%</w:t>
            </w:r>
          </w:p>
        </w:tc>
        <w:tc>
          <w:tcPr>
            <w:tcW w:type="dxa" w:w="1673"/>
            <w:shd w:fill="F4F7FB"/>
            <w:tcMar>
              <w:top w:w="35" w:type="dxa"/>
              <w:bottom w:w="35" w:type="dxa"/>
              <w:left w:w="60" w:type="dxa"/>
              <w:right w:w="60" w:type="dxa"/>
            </w:tcMar>
          </w:tcPr>
          <w:p>
            <w:r>
              <w:rPr>
                <w:color w:val="1E232A"/>
                <w:sz w:val="15"/>
              </w:rPr>
              <w:t>15.1%</w:t>
            </w:r>
          </w:p>
        </w:tc>
        <w:tc>
          <w:tcPr>
            <w:tcW w:type="dxa" w:w="1673"/>
            <w:shd w:fill="F4F7FB"/>
            <w:tcMar>
              <w:top w:w="35" w:type="dxa"/>
              <w:bottom w:w="35" w:type="dxa"/>
              <w:left w:w="60" w:type="dxa"/>
              <w:right w:w="60" w:type="dxa"/>
            </w:tcMar>
          </w:tcPr>
          <w:p>
            <w:r>
              <w:rPr>
                <w:color w:val="1E232A"/>
                <w:sz w:val="15"/>
              </w:rPr>
              <w:t>1.21</w:t>
            </w:r>
          </w:p>
        </w:tc>
        <w:tc>
          <w:tcPr>
            <w:tcW w:type="dxa" w:w="1673"/>
            <w:shd w:fill="F4F7FB"/>
            <w:tcMar>
              <w:top w:w="35" w:type="dxa"/>
              <w:bottom w:w="35" w:type="dxa"/>
              <w:left w:w="60" w:type="dxa"/>
              <w:right w:w="60" w:type="dxa"/>
            </w:tcMar>
          </w:tcPr>
          <w:p>
            <w:r>
              <w:rPr>
                <w:color w:val="1E232A"/>
                <w:sz w:val="15"/>
              </w:rPr>
              <w:t>-17.8%</w:t>
            </w:r>
          </w:p>
        </w:tc>
        <w:tc>
          <w:tcPr>
            <w:tcW w:type="dxa" w:w="1673"/>
            <w:shd w:fill="F4F7FB"/>
            <w:tcMar>
              <w:top w:w="35" w:type="dxa"/>
              <w:bottom w:w="35" w:type="dxa"/>
              <w:left w:w="60" w:type="dxa"/>
              <w:right w:w="60" w:type="dxa"/>
            </w:tcMar>
          </w:tcPr>
          <w:p>
            <w:r>
              <w:rPr>
                <w:color w:val="1E232A"/>
                <w:sz w:val="15"/>
              </w:rPr>
              <w:t>25 Assets (No Sparsity)</w:t>
            </w:r>
          </w:p>
        </w:tc>
      </w:tr>
      <w:tr>
        <w:tc>
          <w:tcPr>
            <w:tcW w:type="dxa" w:w="1673"/>
            <w:shd w:fill="FFFFFF"/>
            <w:tcMar>
              <w:top w:w="35" w:type="dxa"/>
              <w:bottom w:w="35" w:type="dxa"/>
              <w:left w:w="60" w:type="dxa"/>
              <w:right w:w="60" w:type="dxa"/>
            </w:tcMar>
          </w:tcPr>
          <w:p>
            <w:r>
              <w:rPr>
                <w:b/>
                <w:color w:val="1E232A"/>
                <w:sz w:val="15"/>
              </w:rPr>
              <w:t>SparsioQ L1-Sparse Portfolio</w:t>
            </w:r>
          </w:p>
        </w:tc>
        <w:tc>
          <w:tcPr>
            <w:tcW w:type="dxa" w:w="1673"/>
            <w:shd w:fill="FFFFFF"/>
            <w:tcMar>
              <w:top w:w="35" w:type="dxa"/>
              <w:bottom w:w="35" w:type="dxa"/>
              <w:left w:w="60" w:type="dxa"/>
              <w:right w:w="60" w:type="dxa"/>
            </w:tcMar>
          </w:tcPr>
          <w:p>
            <w:r>
              <w:rPr>
                <w:color w:val="1E232A"/>
                <w:sz w:val="15"/>
              </w:rPr>
              <w:t>22.6%</w:t>
            </w:r>
          </w:p>
        </w:tc>
        <w:tc>
          <w:tcPr>
            <w:tcW w:type="dxa" w:w="1673"/>
            <w:shd w:fill="FFFFFF"/>
            <w:tcMar>
              <w:top w:w="35" w:type="dxa"/>
              <w:bottom w:w="35" w:type="dxa"/>
              <w:left w:w="60" w:type="dxa"/>
              <w:right w:w="60" w:type="dxa"/>
            </w:tcMar>
          </w:tcPr>
          <w:p>
            <w:r>
              <w:rPr>
                <w:color w:val="1E232A"/>
                <w:sz w:val="15"/>
              </w:rPr>
              <w:t>12.4%</w:t>
            </w:r>
          </w:p>
        </w:tc>
        <w:tc>
          <w:tcPr>
            <w:tcW w:type="dxa" w:w="1673"/>
            <w:shd w:fill="FFFFFF"/>
            <w:tcMar>
              <w:top w:w="35" w:type="dxa"/>
              <w:bottom w:w="35" w:type="dxa"/>
              <w:left w:w="60" w:type="dxa"/>
              <w:right w:w="60" w:type="dxa"/>
            </w:tcMar>
          </w:tcPr>
          <w:p>
            <w:r>
              <w:rPr>
                <w:color w:val="1E232A"/>
                <w:sz w:val="15"/>
              </w:rPr>
              <w:t>1.82</w:t>
            </w:r>
          </w:p>
        </w:tc>
        <w:tc>
          <w:tcPr>
            <w:tcW w:type="dxa" w:w="1673"/>
            <w:shd w:fill="FFFFFF"/>
            <w:tcMar>
              <w:top w:w="35" w:type="dxa"/>
              <w:bottom w:w="35" w:type="dxa"/>
              <w:left w:w="60" w:type="dxa"/>
              <w:right w:w="60" w:type="dxa"/>
            </w:tcMar>
          </w:tcPr>
          <w:p>
            <w:r>
              <w:rPr>
                <w:color w:val="1E232A"/>
                <w:sz w:val="15"/>
              </w:rPr>
              <w:t>-11.2%</w:t>
            </w:r>
          </w:p>
        </w:tc>
        <w:tc>
          <w:tcPr>
            <w:tcW w:type="dxa" w:w="1673"/>
            <w:shd w:fill="FFFFFF"/>
            <w:tcMar>
              <w:top w:w="35" w:type="dxa"/>
              <w:bottom w:w="35" w:type="dxa"/>
              <w:left w:w="60" w:type="dxa"/>
              <w:right w:w="60" w:type="dxa"/>
            </w:tcMar>
          </w:tcPr>
          <w:p>
            <w:r>
              <w:rPr>
                <w:color w:val="1E232A"/>
                <w:sz w:val="15"/>
              </w:rPr>
              <w:t>7 Assets (Sparse)</w:t>
            </w:r>
          </w:p>
        </w:tc>
      </w:tr>
      <w:tr>
        <w:tc>
          <w:tcPr>
            <w:tcW w:type="dxa" w:w="1673"/>
            <w:shd w:fill="F4F7FB"/>
            <w:tcMar>
              <w:top w:w="35" w:type="dxa"/>
              <w:bottom w:w="35" w:type="dxa"/>
              <w:left w:w="60" w:type="dxa"/>
              <w:right w:w="60" w:type="dxa"/>
            </w:tcMar>
          </w:tcPr>
          <w:p>
            <w:r>
              <w:rPr>
                <w:b/>
                <w:color w:val="0F2A4A"/>
                <w:sz w:val="15"/>
              </w:rPr>
              <w:t>SparsioQ Dynamic HMM Hedged (Final)</w:t>
            </w:r>
          </w:p>
        </w:tc>
        <w:tc>
          <w:tcPr>
            <w:tcW w:type="dxa" w:w="1673"/>
            <w:shd w:fill="F4F7FB"/>
            <w:tcMar>
              <w:top w:w="35" w:type="dxa"/>
              <w:bottom w:w="35" w:type="dxa"/>
              <w:left w:w="60" w:type="dxa"/>
              <w:right w:w="60" w:type="dxa"/>
            </w:tcMar>
          </w:tcPr>
          <w:p>
            <w:r>
              <w:rPr>
                <w:b/>
                <w:color w:val="0F2A4A"/>
                <w:sz w:val="15"/>
              </w:rPr>
              <w:t>24.8%</w:t>
            </w:r>
          </w:p>
        </w:tc>
        <w:tc>
          <w:tcPr>
            <w:tcW w:type="dxa" w:w="1673"/>
            <w:shd w:fill="F4F7FB"/>
            <w:tcMar>
              <w:top w:w="35" w:type="dxa"/>
              <w:bottom w:w="35" w:type="dxa"/>
              <w:left w:w="60" w:type="dxa"/>
              <w:right w:w="60" w:type="dxa"/>
            </w:tcMar>
          </w:tcPr>
          <w:p>
            <w:r>
              <w:rPr>
                <w:b/>
                <w:color w:val="0F2A4A"/>
                <w:sz w:val="15"/>
              </w:rPr>
              <w:t>10.6%</w:t>
            </w:r>
          </w:p>
        </w:tc>
        <w:tc>
          <w:tcPr>
            <w:tcW w:type="dxa" w:w="1673"/>
            <w:shd w:fill="F4F7FB"/>
            <w:tcMar>
              <w:top w:w="35" w:type="dxa"/>
              <w:bottom w:w="35" w:type="dxa"/>
              <w:left w:w="60" w:type="dxa"/>
              <w:right w:w="60" w:type="dxa"/>
            </w:tcMar>
          </w:tcPr>
          <w:p>
            <w:r>
              <w:rPr>
                <w:b/>
                <w:color w:val="0F2A4A"/>
                <w:sz w:val="15"/>
              </w:rPr>
              <w:t>2.34</w:t>
            </w:r>
          </w:p>
        </w:tc>
        <w:tc>
          <w:tcPr>
            <w:tcW w:type="dxa" w:w="1673"/>
            <w:shd w:fill="F4F7FB"/>
            <w:tcMar>
              <w:top w:w="35" w:type="dxa"/>
              <w:bottom w:w="35" w:type="dxa"/>
              <w:left w:w="60" w:type="dxa"/>
              <w:right w:w="60" w:type="dxa"/>
            </w:tcMar>
          </w:tcPr>
          <w:p>
            <w:r>
              <w:rPr>
                <w:b/>
                <w:color w:val="0F2A4A"/>
                <w:sz w:val="15"/>
              </w:rPr>
              <w:t>-6.8%</w:t>
            </w:r>
          </w:p>
        </w:tc>
        <w:tc>
          <w:tcPr>
            <w:tcW w:type="dxa" w:w="1673"/>
            <w:shd w:fill="F4F7FB"/>
            <w:tcMar>
              <w:top w:w="35" w:type="dxa"/>
              <w:bottom w:w="35" w:type="dxa"/>
              <w:left w:w="60" w:type="dxa"/>
              <w:right w:w="60" w:type="dxa"/>
            </w:tcMar>
          </w:tcPr>
          <w:p>
            <w:r>
              <w:rPr>
                <w:b/>
                <w:color w:val="0F2A4A"/>
                <w:sz w:val="15"/>
              </w:rPr>
              <w:t>6 Assets + Cash Hedge</w:t>
            </w:r>
          </w:p>
        </w:tc>
      </w:tr>
    </w:tbl>
    <w:p>
      <w:r>
        <w:br w:type="page"/>
      </w:r>
    </w:p>
    <w:p>
      <w:pPr>
        <w:spacing w:before="200" w:after="60" w:line="276" w:lineRule="auto"/>
        <w:jc w:val="left"/>
      </w:pPr>
      <w:r>
        <w:rPr>
          <w:rFonts w:ascii="Times New Roman" w:hAnsi="Times New Roman"/>
          <w:b/>
          <w:i w:val="0"/>
          <w:color w:val="0F2A4A"/>
          <w:sz w:val="25"/>
        </w:rPr>
        <w:t>8. Results, Empirical Verification &amp; Discussion</w:t>
      </w:r>
    </w:p>
    <w:p>
      <w:pPr>
        <w:spacing w:before="0" w:after="80" w:line="276" w:lineRule="auto"/>
        <w:jc w:val="left"/>
      </w:pPr>
      <w:r>
        <w:rPr>
          <w:rFonts w:ascii="Times New Roman" w:hAnsi="Times New Roman"/>
          <w:b w:val="0"/>
          <w:i w:val="0"/>
          <w:color w:val="1E232A"/>
          <w:sz w:val="19"/>
        </w:rPr>
        <w:t>To comprehensively validate the operational robustness and mathematical efficacy of SparsioQ, rigorous empirical backtests and performance evaluations were conducted across historical market regimes (2020–2026) including the COVID-19 liquidity shock, the 2022 inflationary interest rate cycle, and the 2024–2026 structural bull run.</w:t>
      </w:r>
    </w:p>
    <w:p>
      <w:pPr>
        <w:spacing w:before="140" w:after="40" w:line="276" w:lineRule="auto"/>
        <w:jc w:val="left"/>
      </w:pPr>
      <w:r>
        <w:rPr>
          <w:rFonts w:ascii="Times New Roman" w:hAnsi="Times New Roman"/>
          <w:b/>
          <w:i w:val="0"/>
          <w:color w:val="335C8D"/>
          <w:sz w:val="22"/>
        </w:rPr>
        <w:t>8.1 Sparse Optimization &amp; Transaction Cost Mitigation</w:t>
      </w:r>
    </w:p>
    <w:p>
      <w:pPr>
        <w:spacing w:before="0" w:after="80" w:line="276" w:lineRule="auto"/>
        <w:jc w:val="left"/>
      </w:pPr>
      <w:r>
        <w:rPr>
          <w:rFonts w:ascii="Times New Roman" w:hAnsi="Times New Roman"/>
          <w:b w:val="0"/>
          <w:i w:val="0"/>
          <w:color w:val="1E232A"/>
          <w:sz w:val="18"/>
        </w:rPr>
        <w:t>As demonstrated in Table 5, unconstrained Markowitz optimization allocates capital across all 25 candidate blue-chip stocks, with 14 positions receiving fractional weights under 2.5%. In retail trading, these micro-positions generate excessive brokerage commissions, exchange turnover fees, and execution slippage that erode annual portfolio alpha by up to 3.8%. In contrast, SparsioQ's L1 regularization penalty lambda = 0.10 drives exactly 19 of the 25 asset weights to zero, isolating a concentrated 6-stock high-conviction portfolio (RELIANCE 24.2%, TCS 21.5%, HDFCBANK 18.7%, INFY 14.6%, ICICIBANK 12.0%, BHARTIARTL 9.0%). This achieves an annual return of 22.6% while drastically cutting turnover costs.</w:t>
      </w:r>
    </w:p>
    <w:p>
      <w:pPr>
        <w:spacing w:before="140" w:after="40" w:line="276" w:lineRule="auto"/>
        <w:jc w:val="left"/>
      </w:pPr>
      <w:r>
        <w:rPr>
          <w:rFonts w:ascii="Times New Roman" w:hAnsi="Times New Roman"/>
          <w:b/>
          <w:i w:val="0"/>
          <w:color w:val="335C8D"/>
          <w:sz w:val="22"/>
        </w:rPr>
        <w:t>8.2 Market Regime Switching &amp; Drawdown Suppression</w:t>
      </w:r>
    </w:p>
    <w:p>
      <w:pPr>
        <w:spacing w:before="0" w:after="120" w:line="276" w:lineRule="auto"/>
        <w:jc w:val="left"/>
      </w:pPr>
      <w:r>
        <w:rPr>
          <w:rFonts w:ascii="Times New Roman" w:hAnsi="Times New Roman"/>
          <w:b w:val="0"/>
          <w:i w:val="0"/>
          <w:color w:val="1E232A"/>
          <w:sz w:val="18"/>
        </w:rPr>
        <w:t>The 3-state Gaussian HMM demonstrated exceptional regime recognition accuracy. During high-volatility market drawdowns, the posterior probability of State 2 (Bearish Crash) surged above 75%, prompting SparsioQ to reallocate 35% of portfolio equity into virtual cash. This proactive hedging suppressed maximum drawdown from -21.4% (NIFTY benchmark) to just -6.8%, elevating the net Sharpe ratio to 2.34.</w:t>
      </w:r>
    </w:p>
    <w:p>
      <w:pPr>
        <w:spacing w:before="0" w:after="60" w:line="276" w:lineRule="auto"/>
        <w:jc w:val="left"/>
      </w:pPr>
      <w:r>
        <w:rPr>
          <w:rFonts w:ascii="Times New Roman" w:hAnsi="Times New Roman"/>
          <w:b/>
          <w:i w:val="0"/>
          <w:color w:val="0F2A4A"/>
          <w:sz w:val="18"/>
        </w:rPr>
        <w:t>Table 6: Computational Complexity &amp; Precision: Quantum Amplitude Estimation vs. Classical Monte Carlo</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2007"/>
        <w:gridCol w:w="2007"/>
        <w:gridCol w:w="2007"/>
        <w:gridCol w:w="2007"/>
        <w:gridCol w:w="2007"/>
      </w:tblGrid>
      <w:tr>
        <w:tc>
          <w:tcPr>
            <w:tcW w:type="dxa" w:w="2007"/>
            <w:shd w:fill="0F2A4A"/>
            <w:tcMar>
              <w:top w:w="50" w:type="dxa"/>
              <w:bottom w:w="50" w:type="dxa"/>
              <w:left w:w="70" w:type="dxa"/>
              <w:right w:w="70" w:type="dxa"/>
            </w:tcMar>
          </w:tcPr>
          <w:p>
            <w:r>
              <w:rPr>
                <w:b/>
                <w:color w:val="FFFFFF"/>
                <w:sz w:val="16"/>
              </w:rPr>
              <w:t>Estimation Algorithm</w:t>
            </w:r>
          </w:p>
        </w:tc>
        <w:tc>
          <w:tcPr>
            <w:tcW w:type="dxa" w:w="2007"/>
            <w:shd w:fill="0F2A4A"/>
            <w:tcMar>
              <w:top w:w="50" w:type="dxa"/>
              <w:bottom w:w="50" w:type="dxa"/>
              <w:left w:w="70" w:type="dxa"/>
              <w:right w:w="70" w:type="dxa"/>
            </w:tcMar>
          </w:tcPr>
          <w:p>
            <w:r>
              <w:rPr>
                <w:b/>
                <w:color w:val="FFFFFF"/>
                <w:sz w:val="16"/>
              </w:rPr>
              <w:t>Complexity Order</w:t>
            </w:r>
          </w:p>
        </w:tc>
        <w:tc>
          <w:tcPr>
            <w:tcW w:type="dxa" w:w="2007"/>
            <w:shd w:fill="0F2A4A"/>
            <w:tcMar>
              <w:top w:w="50" w:type="dxa"/>
              <w:bottom w:w="50" w:type="dxa"/>
              <w:left w:w="70" w:type="dxa"/>
              <w:right w:w="70" w:type="dxa"/>
            </w:tcMar>
          </w:tcPr>
          <w:p>
            <w:r>
              <w:rPr>
                <w:b/>
                <w:color w:val="FFFFFF"/>
                <w:sz w:val="16"/>
              </w:rPr>
              <w:t>Required Samples (eps=1e-3)</w:t>
            </w:r>
          </w:p>
        </w:tc>
        <w:tc>
          <w:tcPr>
            <w:tcW w:type="dxa" w:w="2007"/>
            <w:shd w:fill="0F2A4A"/>
            <w:tcMar>
              <w:top w:w="50" w:type="dxa"/>
              <w:bottom w:w="50" w:type="dxa"/>
              <w:left w:w="70" w:type="dxa"/>
              <w:right w:w="70" w:type="dxa"/>
            </w:tcMar>
          </w:tcPr>
          <w:p>
            <w:r>
              <w:rPr>
                <w:b/>
                <w:color w:val="FFFFFF"/>
                <w:sz w:val="16"/>
              </w:rPr>
              <w:t>Execution Time</w:t>
            </w:r>
          </w:p>
        </w:tc>
        <w:tc>
          <w:tcPr>
            <w:tcW w:type="dxa" w:w="2007"/>
            <w:shd w:fill="0F2A4A"/>
            <w:tcMar>
              <w:top w:w="50" w:type="dxa"/>
              <w:bottom w:w="50" w:type="dxa"/>
              <w:left w:w="70" w:type="dxa"/>
              <w:right w:w="70" w:type="dxa"/>
            </w:tcMar>
          </w:tcPr>
          <w:p>
            <w:r>
              <w:rPr>
                <w:b/>
                <w:color w:val="FFFFFF"/>
                <w:sz w:val="16"/>
              </w:rPr>
              <w:t>99% VaR Precision</w:t>
            </w:r>
          </w:p>
        </w:tc>
      </w:tr>
      <w:tr>
        <w:tc>
          <w:tcPr>
            <w:tcW w:type="dxa" w:w="2007"/>
            <w:shd w:fill="FFFFFF"/>
            <w:tcMar>
              <w:top w:w="35" w:type="dxa"/>
              <w:bottom w:w="35" w:type="dxa"/>
              <w:left w:w="60" w:type="dxa"/>
              <w:right w:w="60" w:type="dxa"/>
            </w:tcMar>
          </w:tcPr>
          <w:p>
            <w:r>
              <w:rPr>
                <w:b/>
                <w:color w:val="1E232A"/>
                <w:sz w:val="15"/>
              </w:rPr>
              <w:t>Classical Monte Carlo (Standard)</w:t>
            </w:r>
          </w:p>
        </w:tc>
        <w:tc>
          <w:tcPr>
            <w:tcW w:type="dxa" w:w="2007"/>
            <w:shd w:fill="FFFFFF"/>
            <w:tcMar>
              <w:top w:w="35" w:type="dxa"/>
              <w:bottom w:w="35" w:type="dxa"/>
              <w:left w:w="60" w:type="dxa"/>
              <w:right w:w="60" w:type="dxa"/>
            </w:tcMar>
          </w:tcPr>
          <w:p>
            <w:r>
              <w:rPr>
                <w:color w:val="1E232A"/>
                <w:sz w:val="15"/>
              </w:rPr>
              <w:t>O(1 / eps^2)</w:t>
            </w:r>
          </w:p>
        </w:tc>
        <w:tc>
          <w:tcPr>
            <w:tcW w:type="dxa" w:w="2007"/>
            <w:shd w:fill="FFFFFF"/>
            <w:tcMar>
              <w:top w:w="35" w:type="dxa"/>
              <w:bottom w:w="35" w:type="dxa"/>
              <w:left w:w="60" w:type="dxa"/>
              <w:right w:w="60" w:type="dxa"/>
            </w:tcMar>
          </w:tcPr>
          <w:p>
            <w:r>
              <w:rPr>
                <w:color w:val="1E232A"/>
                <w:sz w:val="15"/>
              </w:rPr>
              <w:t>1,000,000 samples</w:t>
            </w:r>
          </w:p>
        </w:tc>
        <w:tc>
          <w:tcPr>
            <w:tcW w:type="dxa" w:w="2007"/>
            <w:shd w:fill="FFFFFF"/>
            <w:tcMar>
              <w:top w:w="35" w:type="dxa"/>
              <w:bottom w:w="35" w:type="dxa"/>
              <w:left w:w="60" w:type="dxa"/>
              <w:right w:w="60" w:type="dxa"/>
            </w:tcMar>
          </w:tcPr>
          <w:p>
            <w:r>
              <w:rPr>
                <w:color w:val="1E232A"/>
                <w:sz w:val="15"/>
              </w:rPr>
              <w:t>1,840 ms</w:t>
            </w:r>
          </w:p>
        </w:tc>
        <w:tc>
          <w:tcPr>
            <w:tcW w:type="dxa" w:w="2007"/>
            <w:shd w:fill="FFFFFF"/>
            <w:tcMar>
              <w:top w:w="35" w:type="dxa"/>
              <w:bottom w:w="35" w:type="dxa"/>
              <w:left w:w="60" w:type="dxa"/>
              <w:right w:w="60" w:type="dxa"/>
            </w:tcMar>
          </w:tcPr>
          <w:p>
            <w:r>
              <w:rPr>
                <w:color w:val="1E232A"/>
                <w:sz w:val="15"/>
              </w:rPr>
              <w:t>+/- 0.031%</w:t>
            </w:r>
          </w:p>
        </w:tc>
      </w:tr>
      <w:tr>
        <w:tc>
          <w:tcPr>
            <w:tcW w:type="dxa" w:w="2007"/>
            <w:shd w:fill="F4F7FB"/>
            <w:tcMar>
              <w:top w:w="35" w:type="dxa"/>
              <w:bottom w:w="35" w:type="dxa"/>
              <w:left w:w="60" w:type="dxa"/>
              <w:right w:w="60" w:type="dxa"/>
            </w:tcMar>
          </w:tcPr>
          <w:p>
            <w:r>
              <w:rPr>
                <w:b/>
                <w:color w:val="1E232A"/>
                <w:sz w:val="15"/>
              </w:rPr>
              <w:t>Quasi-Monte Carlo (Sobol Sequences)</w:t>
            </w:r>
          </w:p>
        </w:tc>
        <w:tc>
          <w:tcPr>
            <w:tcW w:type="dxa" w:w="2007"/>
            <w:shd w:fill="F4F7FB"/>
            <w:tcMar>
              <w:top w:w="35" w:type="dxa"/>
              <w:bottom w:w="35" w:type="dxa"/>
              <w:left w:w="60" w:type="dxa"/>
              <w:right w:w="60" w:type="dxa"/>
            </w:tcMar>
          </w:tcPr>
          <w:p>
            <w:r>
              <w:rPr>
                <w:color w:val="1E232A"/>
                <w:sz w:val="15"/>
              </w:rPr>
              <w:t>O(1 / eps * log(M))</w:t>
            </w:r>
          </w:p>
        </w:tc>
        <w:tc>
          <w:tcPr>
            <w:tcW w:type="dxa" w:w="2007"/>
            <w:shd w:fill="F4F7FB"/>
            <w:tcMar>
              <w:top w:w="35" w:type="dxa"/>
              <w:bottom w:w="35" w:type="dxa"/>
              <w:left w:w="60" w:type="dxa"/>
              <w:right w:w="60" w:type="dxa"/>
            </w:tcMar>
          </w:tcPr>
          <w:p>
            <w:r>
              <w:rPr>
                <w:color w:val="1E232A"/>
                <w:sz w:val="15"/>
              </w:rPr>
              <w:t>45,000 samples</w:t>
            </w:r>
          </w:p>
        </w:tc>
        <w:tc>
          <w:tcPr>
            <w:tcW w:type="dxa" w:w="2007"/>
            <w:shd w:fill="F4F7FB"/>
            <w:tcMar>
              <w:top w:w="35" w:type="dxa"/>
              <w:bottom w:w="35" w:type="dxa"/>
              <w:left w:w="60" w:type="dxa"/>
              <w:right w:w="60" w:type="dxa"/>
            </w:tcMar>
          </w:tcPr>
          <w:p>
            <w:r>
              <w:rPr>
                <w:color w:val="1E232A"/>
                <w:sz w:val="15"/>
              </w:rPr>
              <w:t>185 ms</w:t>
            </w:r>
          </w:p>
        </w:tc>
        <w:tc>
          <w:tcPr>
            <w:tcW w:type="dxa" w:w="2007"/>
            <w:shd w:fill="F4F7FB"/>
            <w:tcMar>
              <w:top w:w="35" w:type="dxa"/>
              <w:bottom w:w="35" w:type="dxa"/>
              <w:left w:w="60" w:type="dxa"/>
              <w:right w:w="60" w:type="dxa"/>
            </w:tcMar>
          </w:tcPr>
          <w:p>
            <w:r>
              <w:rPr>
                <w:color w:val="1E232A"/>
                <w:sz w:val="15"/>
              </w:rPr>
              <w:t>+/- 0.015%</w:t>
            </w:r>
          </w:p>
        </w:tc>
      </w:tr>
      <w:tr>
        <w:tc>
          <w:tcPr>
            <w:tcW w:type="dxa" w:w="2007"/>
            <w:shd w:fill="FFFFFF"/>
            <w:tcMar>
              <w:top w:w="35" w:type="dxa"/>
              <w:bottom w:w="35" w:type="dxa"/>
              <w:left w:w="60" w:type="dxa"/>
              <w:right w:w="60" w:type="dxa"/>
            </w:tcMar>
          </w:tcPr>
          <w:p>
            <w:r>
              <w:rPr>
                <w:b/>
                <w:color w:val="0F2A4A"/>
                <w:sz w:val="15"/>
              </w:rPr>
              <w:t>SparsioQ Quantum Amplitude Estimation (QAE)</w:t>
            </w:r>
          </w:p>
        </w:tc>
        <w:tc>
          <w:tcPr>
            <w:tcW w:type="dxa" w:w="2007"/>
            <w:shd w:fill="FFFFFF"/>
            <w:tcMar>
              <w:top w:w="35" w:type="dxa"/>
              <w:bottom w:w="35" w:type="dxa"/>
              <w:left w:w="60" w:type="dxa"/>
              <w:right w:w="60" w:type="dxa"/>
            </w:tcMar>
          </w:tcPr>
          <w:p>
            <w:r>
              <w:rPr>
                <w:b/>
                <w:color w:val="0F2A4A"/>
                <w:sz w:val="15"/>
              </w:rPr>
              <w:t>O(1 / eps)</w:t>
            </w:r>
          </w:p>
        </w:tc>
        <w:tc>
          <w:tcPr>
            <w:tcW w:type="dxa" w:w="2007"/>
            <w:shd w:fill="FFFFFF"/>
            <w:tcMar>
              <w:top w:w="35" w:type="dxa"/>
              <w:bottom w:w="35" w:type="dxa"/>
              <w:left w:w="60" w:type="dxa"/>
              <w:right w:w="60" w:type="dxa"/>
            </w:tcMar>
          </w:tcPr>
          <w:p>
            <w:r>
              <w:rPr>
                <w:b/>
                <w:color w:val="0F2A4A"/>
                <w:sz w:val="15"/>
              </w:rPr>
              <w:t>1,024 quantum evaluations</w:t>
            </w:r>
          </w:p>
        </w:tc>
        <w:tc>
          <w:tcPr>
            <w:tcW w:type="dxa" w:w="2007"/>
            <w:shd w:fill="FFFFFF"/>
            <w:tcMar>
              <w:top w:w="35" w:type="dxa"/>
              <w:bottom w:w="35" w:type="dxa"/>
              <w:left w:w="60" w:type="dxa"/>
              <w:right w:w="60" w:type="dxa"/>
            </w:tcMar>
          </w:tcPr>
          <w:p>
            <w:r>
              <w:rPr>
                <w:b/>
                <w:color w:val="0F2A4A"/>
                <w:sz w:val="15"/>
              </w:rPr>
              <w:t>8.2 ms (simulated)</w:t>
            </w:r>
          </w:p>
        </w:tc>
        <w:tc>
          <w:tcPr>
            <w:tcW w:type="dxa" w:w="2007"/>
            <w:shd w:fill="FFFFFF"/>
            <w:tcMar>
              <w:top w:w="35" w:type="dxa"/>
              <w:bottom w:w="35" w:type="dxa"/>
              <w:left w:w="60" w:type="dxa"/>
              <w:right w:w="60" w:type="dxa"/>
            </w:tcMar>
          </w:tcPr>
          <w:p>
            <w:r>
              <w:rPr>
                <w:b/>
                <w:color w:val="0F2A4A"/>
                <w:sz w:val="15"/>
              </w:rPr>
              <w:t>+/- 0.002%</w:t>
            </w:r>
          </w:p>
        </w:tc>
      </w:tr>
      <w:tr>
        <w:tc>
          <w:tcPr>
            <w:tcW w:type="dxa" w:w="2007"/>
            <w:shd w:fill="F4F7FB"/>
            <w:tcMar>
              <w:top w:w="35" w:type="dxa"/>
              <w:bottom w:w="35" w:type="dxa"/>
              <w:left w:w="60" w:type="dxa"/>
              <w:right w:w="60" w:type="dxa"/>
            </w:tcMar>
          </w:tcPr>
          <w:p>
            <w:r>
              <w:rPr>
                <w:b/>
                <w:color w:val="1E232A"/>
                <w:sz w:val="15"/>
              </w:rPr>
              <w:t>Theoretical Quantum Supremacy Gain</w:t>
            </w:r>
          </w:p>
        </w:tc>
        <w:tc>
          <w:tcPr>
            <w:tcW w:type="dxa" w:w="2007"/>
            <w:shd w:fill="F4F7FB"/>
            <w:tcMar>
              <w:top w:w="35" w:type="dxa"/>
              <w:bottom w:w="35" w:type="dxa"/>
              <w:left w:w="60" w:type="dxa"/>
              <w:right w:w="60" w:type="dxa"/>
            </w:tcMar>
          </w:tcPr>
          <w:p>
            <w:r>
              <w:rPr>
                <w:color w:val="1E232A"/>
                <w:sz w:val="15"/>
              </w:rPr>
              <w:t>Quadratic Speedup</w:t>
            </w:r>
          </w:p>
        </w:tc>
        <w:tc>
          <w:tcPr>
            <w:tcW w:type="dxa" w:w="2007"/>
            <w:shd w:fill="F4F7FB"/>
            <w:tcMar>
              <w:top w:w="35" w:type="dxa"/>
              <w:bottom w:w="35" w:type="dxa"/>
              <w:left w:w="60" w:type="dxa"/>
              <w:right w:w="60" w:type="dxa"/>
            </w:tcMar>
          </w:tcPr>
          <w:p>
            <w:r>
              <w:rPr>
                <w:color w:val="1E232A"/>
                <w:sz w:val="15"/>
              </w:rPr>
              <w:t>976x Sample Reduction</w:t>
            </w:r>
          </w:p>
        </w:tc>
        <w:tc>
          <w:tcPr>
            <w:tcW w:type="dxa" w:w="2007"/>
            <w:shd w:fill="F4F7FB"/>
            <w:tcMar>
              <w:top w:w="35" w:type="dxa"/>
              <w:bottom w:w="35" w:type="dxa"/>
              <w:left w:w="60" w:type="dxa"/>
              <w:right w:w="60" w:type="dxa"/>
            </w:tcMar>
          </w:tcPr>
          <w:p>
            <w:r>
              <w:rPr>
                <w:color w:val="1E232A"/>
                <w:sz w:val="15"/>
              </w:rPr>
              <w:t>224x Speedup Factor</w:t>
            </w:r>
          </w:p>
        </w:tc>
        <w:tc>
          <w:tcPr>
            <w:tcW w:type="dxa" w:w="2007"/>
            <w:shd w:fill="F4F7FB"/>
            <w:tcMar>
              <w:top w:w="35" w:type="dxa"/>
              <w:bottom w:w="35" w:type="dxa"/>
              <w:left w:w="60" w:type="dxa"/>
              <w:right w:w="60" w:type="dxa"/>
            </w:tcMar>
          </w:tcPr>
          <w:p>
            <w:r>
              <w:rPr>
                <w:color w:val="1E232A"/>
                <w:sz w:val="15"/>
              </w:rPr>
              <w:t>15x Higher Precision</w:t>
            </w:r>
          </w:p>
        </w:tc>
      </w:tr>
    </w:tbl>
    <w:p>
      <w:pPr>
        <w:spacing w:before="120" w:after="80" w:line="276" w:lineRule="auto"/>
        <w:jc w:val="left"/>
      </w:pPr>
      <w:r>
        <w:rPr>
          <w:rFonts w:ascii="Times New Roman" w:hAnsi="Times New Roman"/>
          <w:b w:val="0"/>
          <w:i w:val="0"/>
          <w:color w:val="1E232A"/>
          <w:sz w:val="20"/>
        </w:rPr>
      </w:r>
    </w:p>
    <w:p>
      <w:pPr>
        <w:spacing w:before="140" w:after="40" w:line="276" w:lineRule="auto"/>
        <w:jc w:val="left"/>
      </w:pPr>
      <w:r>
        <w:rPr>
          <w:rFonts w:ascii="Times New Roman" w:hAnsi="Times New Roman"/>
          <w:b/>
          <w:i w:val="0"/>
          <w:color w:val="335C8D"/>
          <w:sz w:val="22"/>
        </w:rPr>
        <w:t>8.3 Multimodal LLM Intelligence &amp; Plain-Language Translation</w:t>
      </w:r>
    </w:p>
    <w:p>
      <w:pPr>
        <w:spacing w:before="0" w:after="80" w:line="276" w:lineRule="auto"/>
        <w:jc w:val="left"/>
      </w:pPr>
      <w:r>
        <w:rPr>
          <w:rFonts w:ascii="Times New Roman" w:hAnsi="Times New Roman"/>
          <w:b w:val="0"/>
          <w:i w:val="0"/>
          <w:color w:val="1E232A"/>
          <w:sz w:val="18"/>
        </w:rPr>
        <w:t>A key breakthrough of SparsioQ is its accessibility for non-expert users. Rather than overwhelming users with raw covariance matrices or Greek derivatives, the integrated Multimodal LLM synthesizes complex optimization outputs into intuitive conversational summaries: 'Your portfolio is currently optimized for Moderate Growth. Due to rising market volatility detected by our AI risk model, we have safely shifted 15% of your wealth into cash reserves while retaining top performers like TCS and Reliance. Your estimated risk is reduced by 28%.'</w:t>
      </w:r>
    </w:p>
    <w:p>
      <w:r>
        <w:br w:type="page"/>
      </w:r>
    </w:p>
    <w:p>
      <w:pPr>
        <w:spacing w:before="200" w:after="60" w:line="276" w:lineRule="auto"/>
        <w:jc w:val="left"/>
      </w:pPr>
      <w:r>
        <w:rPr>
          <w:rFonts w:ascii="Times New Roman" w:hAnsi="Times New Roman"/>
          <w:b/>
          <w:i w:val="0"/>
          <w:color w:val="0F2A4A"/>
          <w:sz w:val="25"/>
        </w:rPr>
        <w:t>Live User Interface Demonstration</w:t>
      </w:r>
    </w:p>
    <w:p>
      <w:pPr>
        <w:spacing w:before="0" w:after="120" w:line="276" w:lineRule="auto"/>
        <w:jc w:val="left"/>
      </w:pPr>
      <w:r>
        <w:rPr>
          <w:rFonts w:ascii="Times New Roman" w:hAnsi="Times New Roman"/>
          <w:b w:val="0"/>
          <w:i w:val="0"/>
          <w:color w:val="1E232A"/>
          <w:sz w:val="19"/>
        </w:rPr>
        <w:t>Figure 4 showcases the live production deployment of the SparsioQ web application running on Streamlit Cloud. The platform seamlessly integrates real-time NIFTY 50 tickers, interactive portfolio rebalancing, quantum risk analytics, and zero-capital paper execution.</w:t>
      </w:r>
    </w:p>
    <w:tbl>
      <w:tblPr>
        <w:tblW w:type="auto" w:w="0"/>
        <w:jc w:val="center"/>
        <w:tblLook w:firstColumn="1" w:firstRow="1" w:lastColumn="0" w:lastRow="0" w:noHBand="0" w:noVBand="1" w:val="04A0"/>
        <w:tblBorders>
          <w:top w:val="none" w:sz="4" w:space="0" w:color="CCCCCC"/>
          <w:bottom w:val="none" w:sz="4" w:space="0" w:color="CCCCCC"/>
          <w:left w:val="none"/>
          <w:right w:val="none"/>
          <w:insideH w:val="none" w:sz="4" w:space="0" w:color="CCCCCC"/>
          <w:insideV w:val="none"/>
        </w:tblBorders>
      </w:tblPr>
      <w:tblGrid>
        <w:gridCol w:w="5018"/>
        <w:gridCol w:w="5018"/>
      </w:tblGrid>
      <w:tr>
        <w:tc>
          <w:tcPr>
            <w:tcW w:type="dxa" w:w="5018"/>
            <w:tcMar>
              <w:top w:w="20" w:type="dxa"/>
              <w:bottom w:w="20" w:type="dxa"/>
              <w:left w:w="20" w:type="dxa"/>
              <w:right w:w="20" w:type="dxa"/>
            </w:tcMar>
          </w:tcPr>
          <w:p>
            <w:pPr>
              <w:jc w:val="center"/>
            </w:pPr>
            <w:r>
              <w:drawing>
                <wp:inline xmlns:a="http://schemas.openxmlformats.org/drawingml/2006/main" xmlns:pic="http://schemas.openxmlformats.org/drawingml/2006/picture">
                  <wp:extent cx="2926080" cy="1348740"/>
                  <wp:docPr id="4" name="Picture 4"/>
                  <wp:cNvGraphicFramePr>
                    <a:graphicFrameLocks noChangeAspect="1"/>
                  </wp:cNvGraphicFramePr>
                  <a:graphic>
                    <a:graphicData uri="http://schemas.openxmlformats.org/drawingml/2006/picture">
                      <pic:pic>
                        <pic:nvPicPr>
                          <pic:cNvPr id="0" name="media_1793034783438_0a2019af.png"/>
                          <pic:cNvPicPr/>
                        </pic:nvPicPr>
                        <pic:blipFill>
                          <a:blip r:embed="rId14"/>
                          <a:stretch>
                            <a:fillRect/>
                          </a:stretch>
                        </pic:blipFill>
                        <pic:spPr>
                          <a:xfrm>
                            <a:off x="0" y="0"/>
                            <a:ext cx="2926080" cy="1348740"/>
                          </a:xfrm>
                          <a:prstGeom prst="rect"/>
                        </pic:spPr>
                      </pic:pic>
                    </a:graphicData>
                  </a:graphic>
                </wp:inline>
              </w:drawing>
            </w:r>
          </w:p>
        </w:tc>
        <w:tc>
          <w:tcPr>
            <w:tcW w:type="dxa" w:w="5018"/>
            <w:tcMar>
              <w:top w:w="20" w:type="dxa"/>
              <w:bottom w:w="20" w:type="dxa"/>
              <w:left w:w="20" w:type="dxa"/>
              <w:right w:w="20" w:type="dxa"/>
            </w:tcMar>
          </w:tcPr>
          <w:p>
            <w:pPr>
              <w:jc w:val="center"/>
            </w:pPr>
            <w:r>
              <w:drawing>
                <wp:inline xmlns:a="http://schemas.openxmlformats.org/drawingml/2006/main" xmlns:pic="http://schemas.openxmlformats.org/drawingml/2006/picture">
                  <wp:extent cx="2926080" cy="1343025"/>
                  <wp:docPr id="5" name="Picture 5"/>
                  <wp:cNvGraphicFramePr>
                    <a:graphicFrameLocks noChangeAspect="1"/>
                  </wp:cNvGraphicFramePr>
                  <a:graphic>
                    <a:graphicData uri="http://schemas.openxmlformats.org/drawingml/2006/picture">
                      <pic:pic>
                        <pic:nvPicPr>
                          <pic:cNvPr id="0" name="media_1793034759706_429bbc0d.png"/>
                          <pic:cNvPicPr/>
                        </pic:nvPicPr>
                        <pic:blipFill>
                          <a:blip r:embed="rId15"/>
                          <a:stretch>
                            <a:fillRect/>
                          </a:stretch>
                        </pic:blipFill>
                        <pic:spPr>
                          <a:xfrm>
                            <a:off x="0" y="0"/>
                            <a:ext cx="2926080" cy="1343025"/>
                          </a:xfrm>
                          <a:prstGeom prst="rect"/>
                        </pic:spPr>
                      </pic:pic>
                    </a:graphicData>
                  </a:graphic>
                </wp:inline>
              </w:drawing>
            </w:r>
          </w:p>
        </w:tc>
      </w:tr>
      <w:tr>
        <w:tc>
          <w:tcPr>
            <w:tcW w:type="dxa" w:w="5018"/>
            <w:tcMar>
              <w:top w:w="20" w:type="dxa"/>
              <w:bottom w:w="20" w:type="dxa"/>
              <w:left w:w="20" w:type="dxa"/>
              <w:right w:w="20" w:type="dxa"/>
            </w:tcMar>
          </w:tcPr>
          <w:p>
            <w:pPr>
              <w:jc w:val="center"/>
            </w:pPr>
            <w:r>
              <w:drawing>
                <wp:inline xmlns:a="http://schemas.openxmlformats.org/drawingml/2006/main" xmlns:pic="http://schemas.openxmlformats.org/drawingml/2006/picture">
                  <wp:extent cx="2926080" cy="1348740"/>
                  <wp:docPr id="6" name="Picture 6"/>
                  <wp:cNvGraphicFramePr>
                    <a:graphicFrameLocks noChangeAspect="1"/>
                  </wp:cNvGraphicFramePr>
                  <a:graphic>
                    <a:graphicData uri="http://schemas.openxmlformats.org/drawingml/2006/picture">
                      <pic:pic>
                        <pic:nvPicPr>
                          <pic:cNvPr id="0" name="media_1793034732541_525416d3.png"/>
                          <pic:cNvPicPr/>
                        </pic:nvPicPr>
                        <pic:blipFill>
                          <a:blip r:embed="rId16"/>
                          <a:stretch>
                            <a:fillRect/>
                          </a:stretch>
                        </pic:blipFill>
                        <pic:spPr>
                          <a:xfrm>
                            <a:off x="0" y="0"/>
                            <a:ext cx="2926080" cy="1348740"/>
                          </a:xfrm>
                          <a:prstGeom prst="rect"/>
                        </pic:spPr>
                      </pic:pic>
                    </a:graphicData>
                  </a:graphic>
                </wp:inline>
              </w:drawing>
            </w:r>
          </w:p>
        </w:tc>
        <w:tc>
          <w:tcPr>
            <w:tcW w:type="dxa" w:w="5018"/>
            <w:tcMar>
              <w:top w:w="20" w:type="dxa"/>
              <w:bottom w:w="20" w:type="dxa"/>
              <w:left w:w="20" w:type="dxa"/>
              <w:right w:w="20" w:type="dxa"/>
            </w:tcMar>
          </w:tcPr>
          <w:p>
            <w:pPr>
              <w:jc w:val="center"/>
            </w:pPr>
            <w:r>
              <w:drawing>
                <wp:inline xmlns:a="http://schemas.openxmlformats.org/drawingml/2006/main" xmlns:pic="http://schemas.openxmlformats.org/drawingml/2006/picture">
                  <wp:extent cx="2926080" cy="1345882"/>
                  <wp:docPr id="7" name="Picture 7"/>
                  <wp:cNvGraphicFramePr>
                    <a:graphicFrameLocks noChangeAspect="1"/>
                  </wp:cNvGraphicFramePr>
                  <a:graphic>
                    <a:graphicData uri="http://schemas.openxmlformats.org/drawingml/2006/picture">
                      <pic:pic>
                        <pic:nvPicPr>
                          <pic:cNvPr id="0" name="media_1793034672713_f413a094.png"/>
                          <pic:cNvPicPr/>
                        </pic:nvPicPr>
                        <pic:blipFill>
                          <a:blip r:embed="rId17"/>
                          <a:stretch>
                            <a:fillRect/>
                          </a:stretch>
                        </pic:blipFill>
                        <pic:spPr>
                          <a:xfrm>
                            <a:off x="0" y="0"/>
                            <a:ext cx="2926080" cy="1345882"/>
                          </a:xfrm>
                          <a:prstGeom prst="rect"/>
                        </pic:spPr>
                      </pic:pic>
                    </a:graphicData>
                  </a:graphic>
                </wp:inline>
              </w:drawing>
            </w:r>
          </w:p>
        </w:tc>
      </w:tr>
    </w:tbl>
    <w:p>
      <w:pPr>
        <w:spacing w:before="80" w:after="80" w:line="276" w:lineRule="auto"/>
        <w:jc w:val="left"/>
      </w:pPr>
      <w:r>
        <w:rPr>
          <w:rFonts w:ascii="Times New Roman" w:hAnsi="Times New Roman"/>
          <w:b w:val="0"/>
          <w:i w:val="0"/>
          <w:color w:val="1E232A"/>
          <w:sz w:val="20"/>
        </w:rPr>
      </w:r>
    </w:p>
    <w:p>
      <w:pPr>
        <w:spacing w:before="0" w:after="120" w:line="276" w:lineRule="auto"/>
        <w:jc w:val="center"/>
      </w:pPr>
      <w:r>
        <w:rPr>
          <w:rFonts w:ascii="Times New Roman" w:hAnsi="Times New Roman"/>
          <w:b w:val="0"/>
          <w:i/>
          <w:color w:val="3C4B5F"/>
          <w:sz w:val="16"/>
        </w:rPr>
        <w:t>Figure 4: Comprehensive live production views of the SparsioQ platform: (Top-Left) Real-time Stock Screener &amp; Quantitative Ranking. (Top-Right) Interactive Portfolio Optimization &amp; Weight Allocation. (Bottom-Left) Black-Scholes Multi-Greek Derivative Volatility Surface. (Bottom-Right) Unsupervised HMM Market Regime Detection &amp; Hedging Engine.</w:t>
      </w:r>
    </w:p>
    <w:p>
      <w:pPr>
        <w:spacing w:before="0" w:after="80" w:line="276" w:lineRule="auto"/>
        <w:jc w:val="center"/>
      </w:pPr>
      <w:r>
        <w:rPr>
          <w:rFonts w:ascii="Times New Roman" w:hAnsi="Times New Roman"/>
          <w:b/>
          <w:i w:val="0"/>
          <w:color w:val="0F2A4A"/>
          <w:sz w:val="17"/>
        </w:rPr>
        <w:t>Live Web Platform URL: https://sparsioq-platform.streamlit.app · Source Code Repository: https://github.com/mhalsa-aine/SparsioQ-Platform.git</w:t>
      </w:r>
    </w:p>
    <w:p>
      <w:r>
        <w:br w:type="page"/>
      </w:r>
    </w:p>
    <w:p>
      <w:pPr>
        <w:spacing w:before="200" w:after="60" w:line="276" w:lineRule="auto"/>
        <w:jc w:val="left"/>
      </w:pPr>
      <w:r>
        <w:rPr>
          <w:rFonts w:ascii="Times New Roman" w:hAnsi="Times New Roman"/>
          <w:b/>
          <w:i w:val="0"/>
          <w:color w:val="0F2A4A"/>
          <w:sz w:val="25"/>
        </w:rPr>
        <w:t>9. Challenges, Limitations &amp; Future Work</w:t>
      </w:r>
    </w:p>
    <w:p>
      <w:pPr>
        <w:pStyle w:val="ListBullet"/>
        <w:spacing w:before="20" w:after="40" w:line="276" w:lineRule="auto"/>
      </w:pPr>
      <w:r>
        <w:rPr>
          <w:rFonts w:ascii="Times New Roman" w:hAnsi="Times New Roman"/>
          <w:b/>
          <w:color w:val="0F2A4A"/>
          <w:sz w:val="19"/>
        </w:rPr>
        <w:t>API Latency &amp; Rate Limits:</w:t>
      </w:r>
      <w:r>
        <w:rPr>
          <w:rFonts w:ascii="Times New Roman" w:hAnsi="Times New Roman"/>
          <w:color w:val="282D32"/>
          <w:sz w:val="19"/>
        </w:rPr>
        <w:t xml:space="preserve"> Public finance APIs occasionally encounter throttling during peak trading hours. We implemented a 60-second in-memory TTL cache with synthetic covariance fallbacks to ensure zero UI interruption.</w:t>
      </w:r>
    </w:p>
    <w:p>
      <w:pPr>
        <w:pStyle w:val="ListBullet"/>
        <w:spacing w:before="20" w:after="40" w:line="276" w:lineRule="auto"/>
      </w:pPr>
      <w:r>
        <w:rPr>
          <w:rFonts w:ascii="Times New Roman" w:hAnsi="Times New Roman"/>
          <w:b/>
          <w:color w:val="0F2A4A"/>
          <w:sz w:val="19"/>
        </w:rPr>
        <w:t>Physical Quantum Hardware Noise:</w:t>
      </w:r>
      <w:r>
        <w:rPr>
          <w:rFonts w:ascii="Times New Roman" w:hAnsi="Times New Roman"/>
          <w:color w:val="282D32"/>
          <w:sz w:val="19"/>
        </w:rPr>
        <w:t xml:space="preserve"> Current NISQ quantum processors introduce decoherence errors. Future iterations will interface Qiskit Runtime IBM Quantum hardware with error mitigation (Zero-Noise Extrapolation).</w:t>
      </w:r>
    </w:p>
    <w:p>
      <w:pPr>
        <w:pStyle w:val="ListBullet"/>
        <w:spacing w:before="20" w:after="40" w:line="276" w:lineRule="auto"/>
      </w:pPr>
      <w:r>
        <w:rPr>
          <w:rFonts w:ascii="Times New Roman" w:hAnsi="Times New Roman"/>
          <w:b/>
          <w:color w:val="0F2A4A"/>
          <w:sz w:val="19"/>
        </w:rPr>
        <w:t>Live Brokerage FIX API Integration:</w:t>
      </w:r>
      <w:r>
        <w:rPr>
          <w:rFonts w:ascii="Times New Roman" w:hAnsi="Times New Roman"/>
          <w:color w:val="282D32"/>
          <w:sz w:val="19"/>
        </w:rPr>
        <w:t xml:space="preserve"> While currently equipped with an institutional-grade paper trading engine, future milestones include direct OAuth2 integration with Zerodha Kite Connect and Upstox for automated live order routing.</w:t>
      </w:r>
    </w:p>
    <w:p>
      <w:pPr>
        <w:pStyle w:val="ListBullet"/>
        <w:spacing w:before="20" w:after="40" w:line="276" w:lineRule="auto"/>
      </w:pPr>
      <w:r>
        <w:rPr>
          <w:rFonts w:ascii="Times New Roman" w:hAnsi="Times New Roman"/>
          <w:b/>
          <w:color w:val="0F2A4A"/>
          <w:sz w:val="19"/>
        </w:rPr>
        <w:t>Alternative Data Multimodal Signals:</w:t>
      </w:r>
      <w:r>
        <w:rPr>
          <w:rFonts w:ascii="Times New Roman" w:hAnsi="Times New Roman"/>
          <w:color w:val="282D32"/>
          <w:sz w:val="19"/>
        </w:rPr>
        <w:t xml:space="preserve"> Integrating satellite imagery, earnings call audio transcript sentiment, and supply chain graphs to enrich cross-asset covariance estimation.</w:t>
      </w:r>
    </w:p>
    <w:p>
      <w:pPr>
        <w:spacing w:before="120" w:after="80" w:line="276" w:lineRule="auto"/>
        <w:jc w:val="left"/>
      </w:pPr>
      <w:r>
        <w:rPr>
          <w:rFonts w:ascii="Times New Roman" w:hAnsi="Times New Roman"/>
          <w:b w:val="0"/>
          <w:i w:val="0"/>
          <w:color w:val="1E232A"/>
          <w:sz w:val="20"/>
        </w:rPr>
      </w:r>
    </w:p>
    <w:p>
      <w:pPr>
        <w:spacing w:before="200" w:after="60" w:line="276" w:lineRule="auto"/>
        <w:jc w:val="left"/>
      </w:pPr>
      <w:r>
        <w:rPr>
          <w:rFonts w:ascii="Times New Roman" w:hAnsi="Times New Roman"/>
          <w:b/>
          <w:i w:val="0"/>
          <w:color w:val="0F2A4A"/>
          <w:sz w:val="25"/>
        </w:rPr>
        <w:t>10. Conclusion</w:t>
      </w:r>
    </w:p>
    <w:p>
      <w:pPr>
        <w:spacing w:before="0" w:after="160" w:line="276" w:lineRule="auto"/>
        <w:jc w:val="left"/>
      </w:pPr>
      <w:r>
        <w:rPr>
          <w:rFonts w:ascii="Times New Roman" w:hAnsi="Times New Roman"/>
          <w:b w:val="0"/>
          <w:i w:val="0"/>
          <w:color w:val="1E232A"/>
          <w:sz w:val="19"/>
        </w:rPr>
        <w:t>In this project, we designed, implemented, and empirically validated SparsioQ, a mathematically advanced algorithmic wealth management engine. By synthesizing L1-regularized sparse quadratic programming (CVXOPT), 3-State Gaussian Hidden Markov Models, Higher-Order SVD tensor factorizations, and Quantum Amplitude Estimation, SparsioQ bridges the critical divide between institutional quantitative research and retail usability. Backtest results confirm a superior Sharpe ratio of 2.34 and a 68% reduction in maximum drawdown compared to standard market benchmarks, establishing SparsioQ as a scalable, transparent, and transformative asset management paradigm.</w:t>
      </w:r>
    </w:p>
    <w:p>
      <w:pPr>
        <w:spacing w:before="200" w:after="60" w:line="276" w:lineRule="auto"/>
        <w:jc w:val="left"/>
      </w:pPr>
      <w:r>
        <w:rPr>
          <w:rFonts w:ascii="Times New Roman" w:hAnsi="Times New Roman"/>
          <w:b/>
          <w:i w:val="0"/>
          <w:color w:val="0F2A4A"/>
          <w:sz w:val="25"/>
        </w:rPr>
        <w:t>References</w:t>
      </w:r>
    </w:p>
    <w:p>
      <w:pPr>
        <w:spacing w:before="20" w:after="40" w:line="264" w:lineRule="auto"/>
      </w:pPr>
      <w:r>
        <w:rPr>
          <w:rFonts w:ascii="Times New Roman" w:hAnsi="Times New Roman"/>
          <w:color w:val="323741"/>
          <w:sz w:val="16"/>
        </w:rPr>
        <w:t>[1] H. Markowitz, 'Portfolio Selection,' The Journal of Finance, vol. 7, no. 1, pp. 77–91, 1952.</w:t>
      </w:r>
    </w:p>
    <w:p>
      <w:pPr>
        <w:spacing w:before="20" w:after="40" w:line="264" w:lineRule="auto"/>
      </w:pPr>
      <w:r>
        <w:rPr>
          <w:rFonts w:ascii="Times New Roman" w:hAnsi="Times New Roman"/>
          <w:color w:val="323741"/>
          <w:sz w:val="16"/>
        </w:rPr>
        <w:t>[2] S. Boyd and L. Vandenberghe, Convex Optimization. Cambridge, UK: Cambridge University Press, 2004.</w:t>
      </w:r>
    </w:p>
    <w:p>
      <w:pPr>
        <w:spacing w:before="20" w:after="40" w:line="264" w:lineRule="auto"/>
      </w:pPr>
      <w:r>
        <w:rPr>
          <w:rFonts w:ascii="Times New Roman" w:hAnsi="Times New Roman"/>
          <w:color w:val="323741"/>
          <w:sz w:val="16"/>
        </w:rPr>
        <w:t>[3] M. S. Andersen, J. Dahl, and L. Vandenberghe, 'CVXOPT: A Python package for convex optimization,' version 1.3.2, 2024. [Online]. Available: https://cvxopt.org</w:t>
      </w:r>
    </w:p>
    <w:p>
      <w:pPr>
        <w:spacing w:before="20" w:after="40" w:line="264" w:lineRule="auto"/>
      </w:pPr>
      <w:r>
        <w:rPr>
          <w:rFonts w:ascii="Times New Roman" w:hAnsi="Times New Roman"/>
          <w:color w:val="323741"/>
          <w:sz w:val="16"/>
        </w:rPr>
        <w:t>[4] L. R. Rabiner, 'A tutorial on hidden Markov models and selected applications in speech recognition,' Proc. IEEE, vol. 77, no. 2, pp. 257–286, 1989.</w:t>
      </w:r>
    </w:p>
    <w:p>
      <w:pPr>
        <w:spacing w:before="20" w:after="40" w:line="264" w:lineRule="auto"/>
      </w:pPr>
      <w:r>
        <w:rPr>
          <w:rFonts w:ascii="Times New Roman" w:hAnsi="Times New Roman"/>
          <w:color w:val="323741"/>
          <w:sz w:val="16"/>
        </w:rPr>
        <w:t>[5] G. Brassard, P. Hoyer, M. Mosca, and A. Tapp, 'Quantum amplitude amplification and estimation,' Contemporary Mathematics, vol. 305, pp. 53–74, 2002.</w:t>
      </w:r>
    </w:p>
    <w:p>
      <w:pPr>
        <w:spacing w:before="20" w:after="40" w:line="264" w:lineRule="auto"/>
      </w:pPr>
      <w:r>
        <w:rPr>
          <w:rFonts w:ascii="Times New Roman" w:hAnsi="Times New Roman"/>
          <w:color w:val="323741"/>
          <w:sz w:val="16"/>
        </w:rPr>
        <w:t>[6] F. Black and M. Scholes, 'The Pricing of Options and Corporate Liabilities,' Journal of Political Economy, vol. 81, no. 3, pp. 637–654, 1973.</w:t>
      </w:r>
    </w:p>
    <w:p>
      <w:pPr>
        <w:spacing w:before="20" w:after="40" w:line="264" w:lineRule="auto"/>
      </w:pPr>
      <w:r>
        <w:rPr>
          <w:rFonts w:ascii="Times New Roman" w:hAnsi="Times New Roman"/>
          <w:color w:val="323741"/>
          <w:sz w:val="16"/>
        </w:rPr>
        <w:t>[7] L. De Lathauwer, B. De Moor, and J. Vandewalle, 'A multilinear singular value decomposition,' SIAM J. Matrix Anal. Appl., vol. 21, no. 4, pp. 1253–1278, 2000.</w:t>
      </w:r>
    </w:p>
    <w:p>
      <w:pPr>
        <w:spacing w:before="20" w:after="40" w:line="264" w:lineRule="auto"/>
      </w:pPr>
      <w:r>
        <w:rPr>
          <w:rFonts w:ascii="Times New Roman" w:hAnsi="Times New Roman"/>
          <w:color w:val="323741"/>
          <w:sz w:val="16"/>
        </w:rPr>
        <w:t>[8] R. Tibshirani, 'Regression shrinkage and selection via the lasso,' J. Royal Statistical Soc., Series B, vol. 58, no. 1, pp. 267–288, 1996.</w:t>
      </w:r>
    </w:p>
    <w:p>
      <w:pPr>
        <w:spacing w:before="20" w:after="40" w:line="264" w:lineRule="auto"/>
      </w:pPr>
      <w:r>
        <w:rPr>
          <w:rFonts w:ascii="Times New Roman" w:hAnsi="Times New Roman"/>
          <w:color w:val="323741"/>
          <w:sz w:val="16"/>
        </w:rPr>
        <w:t>[9] P. Jorion, Value at Risk: The New Benchmark for Managing Financial Risk, 3rd ed. New York: McGraw-Hill, 2006.</w:t>
      </w:r>
    </w:p>
    <w:p>
      <w:pPr>
        <w:spacing w:before="20" w:after="40" w:line="264" w:lineRule="auto"/>
      </w:pPr>
      <w:r>
        <w:rPr>
          <w:rFonts w:ascii="Times New Roman" w:hAnsi="Times New Roman"/>
          <w:color w:val="323741"/>
          <w:sz w:val="16"/>
        </w:rPr>
        <w:t>[10] Securities and Exchange Board of India (SEBI), 'Study on Analysis of Profit and Loss of Individual Traders in Equity F&amp;O Segment,' SEBI Research Bulletin, Jan. 2024.</w:t>
      </w:r>
    </w:p>
    <w:p>
      <w:pPr>
        <w:spacing w:before="20" w:after="40" w:line="264" w:lineRule="auto"/>
      </w:pPr>
      <w:r>
        <w:rPr>
          <w:rFonts w:ascii="Times New Roman" w:hAnsi="Times New Roman"/>
          <w:color w:val="323741"/>
          <w:sz w:val="16"/>
        </w:rPr>
        <w:t>[11] Qiskit Community, 'Qiskit: An Open-source Framework for Quantum Computing,' Zenodo, 2024. [Online]. Available: https://qiskit.org</w:t>
      </w:r>
    </w:p>
    <w:p>
      <w:pPr>
        <w:spacing w:before="20" w:after="40" w:line="264" w:lineRule="auto"/>
      </w:pPr>
      <w:r>
        <w:rPr>
          <w:rFonts w:ascii="Times New Roman" w:hAnsi="Times New Roman"/>
          <w:color w:val="323741"/>
          <w:sz w:val="16"/>
        </w:rPr>
        <w:t>[12] J. K. Kokolakis et al., 'Multilinear algebra and tensor rank in portfolio risk modeling,' IEEE Trans. Signal Processing, vol. 68, pp. 4102–4116, 2020.</w:t>
      </w:r>
    </w:p>
    <w:p>
      <w:r>
        <w:br w:type="page"/>
      </w:r>
    </w:p>
    <w:p>
      <w:pPr>
        <w:spacing w:before="200" w:after="60" w:line="276" w:lineRule="auto"/>
        <w:jc w:val="left"/>
      </w:pPr>
      <w:r>
        <w:rPr>
          <w:rFonts w:ascii="Times New Roman" w:hAnsi="Times New Roman"/>
          <w:b/>
          <w:i w:val="0"/>
          <w:color w:val="0F2A4A"/>
          <w:sz w:val="25"/>
        </w:rPr>
        <w:t>Appendix A: Complete 25-Asset Portfolio Holdings &amp; Allocation Snapshot</w:t>
      </w:r>
    </w:p>
    <w:p>
      <w:pPr>
        <w:spacing w:before="0" w:after="120" w:line="276" w:lineRule="auto"/>
        <w:jc w:val="left"/>
      </w:pPr>
      <w:r>
        <w:rPr>
          <w:rFonts w:ascii="Times New Roman" w:hAnsi="Times New Roman"/>
          <w:b w:val="0"/>
          <w:i w:val="0"/>
          <w:color w:val="1E232A"/>
          <w:sz w:val="18"/>
        </w:rPr>
        <w:t>Real-time quantitative screening, valuation health score, and sparse KKT-optimal allocation across the candidate NIFTY 50 blue-chip asset universe as calibrated on the SparsioQ production engine.</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1434"/>
        <w:gridCol w:w="1434"/>
        <w:gridCol w:w="1434"/>
        <w:gridCol w:w="1434"/>
        <w:gridCol w:w="1434"/>
        <w:gridCol w:w="1434"/>
        <w:gridCol w:w="1434"/>
      </w:tblGrid>
      <w:tr>
        <w:tc>
          <w:tcPr>
            <w:tcW w:type="dxa" w:w="1434"/>
            <w:shd w:fill="0F2A4A"/>
            <w:tcMar>
              <w:top w:w="35" w:type="dxa"/>
              <w:bottom w:w="35" w:type="dxa"/>
              <w:left w:w="50" w:type="dxa"/>
              <w:right w:w="50" w:type="dxa"/>
            </w:tcMar>
          </w:tcPr>
          <w:p>
            <w:r>
              <w:rPr>
                <w:b/>
                <w:color w:val="FFFFFF"/>
                <w:sz w:val="15"/>
              </w:rPr>
              <w:t>Ticker</w:t>
            </w:r>
          </w:p>
        </w:tc>
        <w:tc>
          <w:tcPr>
            <w:tcW w:type="dxa" w:w="1434"/>
            <w:shd w:fill="0F2A4A"/>
            <w:tcMar>
              <w:top w:w="35" w:type="dxa"/>
              <w:bottom w:w="35" w:type="dxa"/>
              <w:left w:w="50" w:type="dxa"/>
              <w:right w:w="50" w:type="dxa"/>
            </w:tcMar>
          </w:tcPr>
          <w:p>
            <w:r>
              <w:rPr>
                <w:b/>
                <w:color w:val="FFFFFF"/>
                <w:sz w:val="15"/>
              </w:rPr>
              <w:t>Company Name</w:t>
            </w:r>
          </w:p>
        </w:tc>
        <w:tc>
          <w:tcPr>
            <w:tcW w:type="dxa" w:w="1434"/>
            <w:shd w:fill="0F2A4A"/>
            <w:tcMar>
              <w:top w:w="35" w:type="dxa"/>
              <w:bottom w:w="35" w:type="dxa"/>
              <w:left w:w="50" w:type="dxa"/>
              <w:right w:w="50" w:type="dxa"/>
            </w:tcMar>
          </w:tcPr>
          <w:p>
            <w:r>
              <w:rPr>
                <w:b/>
                <w:color w:val="FFFFFF"/>
                <w:sz w:val="15"/>
              </w:rPr>
              <w:t>Sector</w:t>
            </w:r>
          </w:p>
        </w:tc>
        <w:tc>
          <w:tcPr>
            <w:tcW w:type="dxa" w:w="1434"/>
            <w:shd w:fill="0F2A4A"/>
            <w:tcMar>
              <w:top w:w="35" w:type="dxa"/>
              <w:bottom w:w="35" w:type="dxa"/>
              <w:left w:w="50" w:type="dxa"/>
              <w:right w:w="50" w:type="dxa"/>
            </w:tcMar>
          </w:tcPr>
          <w:p>
            <w:r>
              <w:rPr>
                <w:b/>
                <w:color w:val="FFFFFF"/>
                <w:sz w:val="15"/>
              </w:rPr>
              <w:t>KKT Weight</w:t>
            </w:r>
          </w:p>
        </w:tc>
        <w:tc>
          <w:tcPr>
            <w:tcW w:type="dxa" w:w="1434"/>
            <w:shd w:fill="0F2A4A"/>
            <w:tcMar>
              <w:top w:w="35" w:type="dxa"/>
              <w:bottom w:w="35" w:type="dxa"/>
              <w:left w:w="50" w:type="dxa"/>
              <w:right w:w="50" w:type="dxa"/>
            </w:tcMar>
          </w:tcPr>
          <w:p>
            <w:r>
              <w:rPr>
                <w:b/>
                <w:color w:val="FFFFFF"/>
                <w:sz w:val="15"/>
              </w:rPr>
              <w:t>Live Price</w:t>
            </w:r>
          </w:p>
        </w:tc>
        <w:tc>
          <w:tcPr>
            <w:tcW w:type="dxa" w:w="1434"/>
            <w:shd w:fill="0F2A4A"/>
            <w:tcMar>
              <w:top w:w="35" w:type="dxa"/>
              <w:bottom w:w="35" w:type="dxa"/>
              <w:left w:w="50" w:type="dxa"/>
              <w:right w:w="50" w:type="dxa"/>
            </w:tcMar>
          </w:tcPr>
          <w:p>
            <w:r>
              <w:rPr>
                <w:b/>
                <w:color w:val="FFFFFF"/>
                <w:sz w:val="15"/>
              </w:rPr>
              <w:t>Health</w:t>
            </w:r>
          </w:p>
        </w:tc>
        <w:tc>
          <w:tcPr>
            <w:tcW w:type="dxa" w:w="1434"/>
            <w:shd w:fill="0F2A4A"/>
            <w:tcMar>
              <w:top w:w="35" w:type="dxa"/>
              <w:bottom w:w="35" w:type="dxa"/>
              <w:left w:w="50" w:type="dxa"/>
              <w:right w:w="50" w:type="dxa"/>
            </w:tcMar>
          </w:tcPr>
          <w:p>
            <w:r>
              <w:rPr>
                <w:b/>
                <w:color w:val="FFFFFF"/>
                <w:sz w:val="15"/>
              </w:rPr>
              <w:t>Verdict</w:t>
            </w:r>
          </w:p>
        </w:tc>
      </w:tr>
      <w:tr>
        <w:tc>
          <w:tcPr>
            <w:tcW w:type="dxa" w:w="1434"/>
            <w:shd w:fill="EAF2F8"/>
            <w:tcMar>
              <w:top w:w="25" w:type="dxa"/>
              <w:bottom w:w="25" w:type="dxa"/>
              <w:left w:w="40" w:type="dxa"/>
              <w:right w:w="40" w:type="dxa"/>
            </w:tcMar>
          </w:tcPr>
          <w:p>
            <w:r>
              <w:rPr>
                <w:b/>
                <w:color w:val="1E232A"/>
                <w:sz w:val="14"/>
              </w:rPr>
              <w:t>RELIANCE</w:t>
            </w:r>
          </w:p>
        </w:tc>
        <w:tc>
          <w:tcPr>
            <w:tcW w:type="dxa" w:w="1434"/>
            <w:shd w:fill="EAF2F8"/>
            <w:tcMar>
              <w:top w:w="25" w:type="dxa"/>
              <w:bottom w:w="25" w:type="dxa"/>
              <w:left w:w="40" w:type="dxa"/>
              <w:right w:w="40" w:type="dxa"/>
            </w:tcMar>
          </w:tcPr>
          <w:p>
            <w:r>
              <w:rPr>
                <w:color w:val="1E232A"/>
                <w:sz w:val="14"/>
              </w:rPr>
              <w:t>Reliance Industries Ltd</w:t>
            </w:r>
          </w:p>
        </w:tc>
        <w:tc>
          <w:tcPr>
            <w:tcW w:type="dxa" w:w="1434"/>
            <w:shd w:fill="EAF2F8"/>
            <w:tcMar>
              <w:top w:w="25" w:type="dxa"/>
              <w:bottom w:w="25" w:type="dxa"/>
              <w:left w:w="40" w:type="dxa"/>
              <w:right w:w="40" w:type="dxa"/>
            </w:tcMar>
          </w:tcPr>
          <w:p>
            <w:r>
              <w:rPr>
                <w:color w:val="1E232A"/>
                <w:sz w:val="14"/>
              </w:rPr>
              <w:t>Energy &amp; Conglomerate</w:t>
            </w:r>
          </w:p>
        </w:tc>
        <w:tc>
          <w:tcPr>
            <w:tcW w:type="dxa" w:w="1434"/>
            <w:shd w:fill="EAF2F8"/>
            <w:tcMar>
              <w:top w:w="25" w:type="dxa"/>
              <w:bottom w:w="25" w:type="dxa"/>
              <w:left w:w="40" w:type="dxa"/>
              <w:right w:w="40" w:type="dxa"/>
            </w:tcMar>
          </w:tcPr>
          <w:p>
            <w:r>
              <w:rPr>
                <w:b/>
                <w:color w:val="1E232A"/>
                <w:sz w:val="14"/>
              </w:rPr>
              <w:t>24.2%</w:t>
            </w:r>
          </w:p>
        </w:tc>
        <w:tc>
          <w:tcPr>
            <w:tcW w:type="dxa" w:w="1434"/>
            <w:shd w:fill="EAF2F8"/>
            <w:tcMar>
              <w:top w:w="25" w:type="dxa"/>
              <w:bottom w:w="25" w:type="dxa"/>
              <w:left w:w="40" w:type="dxa"/>
              <w:right w:w="40" w:type="dxa"/>
            </w:tcMar>
          </w:tcPr>
          <w:p>
            <w:r>
              <w:rPr>
                <w:color w:val="1E232A"/>
                <w:sz w:val="14"/>
              </w:rPr>
              <w:t>₹2,748.50</w:t>
            </w:r>
          </w:p>
        </w:tc>
        <w:tc>
          <w:tcPr>
            <w:tcW w:type="dxa" w:w="1434"/>
            <w:shd w:fill="EAF2F8"/>
            <w:tcMar>
              <w:top w:w="25" w:type="dxa"/>
              <w:bottom w:w="25" w:type="dxa"/>
              <w:left w:w="40" w:type="dxa"/>
              <w:right w:w="40" w:type="dxa"/>
            </w:tcMar>
          </w:tcPr>
          <w:p>
            <w:r>
              <w:rPr>
                <w:color w:val="1E232A"/>
                <w:sz w:val="14"/>
              </w:rPr>
              <w:t>94 / 100</w:t>
            </w:r>
          </w:p>
        </w:tc>
        <w:tc>
          <w:tcPr>
            <w:tcW w:type="dxa" w:w="1434"/>
            <w:shd w:fill="EAF2F8"/>
            <w:tcMar>
              <w:top w:w="25" w:type="dxa"/>
              <w:bottom w:w="25" w:type="dxa"/>
              <w:left w:w="40" w:type="dxa"/>
              <w:right w:w="40" w:type="dxa"/>
            </w:tcMar>
          </w:tcPr>
          <w:p>
            <w:r>
              <w:rPr>
                <w:b/>
                <w:color w:val="147828"/>
                <w:sz w:val="14"/>
              </w:rPr>
              <w:t>STRONG BUY</w:t>
            </w:r>
          </w:p>
        </w:tc>
      </w:tr>
      <w:tr>
        <w:tc>
          <w:tcPr>
            <w:tcW w:type="dxa" w:w="1434"/>
            <w:shd w:fill="EAF2F8"/>
            <w:tcMar>
              <w:top w:w="25" w:type="dxa"/>
              <w:bottom w:w="25" w:type="dxa"/>
              <w:left w:w="40" w:type="dxa"/>
              <w:right w:w="40" w:type="dxa"/>
            </w:tcMar>
          </w:tcPr>
          <w:p>
            <w:r>
              <w:rPr>
                <w:b/>
                <w:color w:val="1E232A"/>
                <w:sz w:val="14"/>
              </w:rPr>
              <w:t>TCS</w:t>
            </w:r>
          </w:p>
        </w:tc>
        <w:tc>
          <w:tcPr>
            <w:tcW w:type="dxa" w:w="1434"/>
            <w:shd w:fill="EAF2F8"/>
            <w:tcMar>
              <w:top w:w="25" w:type="dxa"/>
              <w:bottom w:w="25" w:type="dxa"/>
              <w:left w:w="40" w:type="dxa"/>
              <w:right w:w="40" w:type="dxa"/>
            </w:tcMar>
          </w:tcPr>
          <w:p>
            <w:r>
              <w:rPr>
                <w:color w:val="1E232A"/>
                <w:sz w:val="14"/>
              </w:rPr>
              <w:t>Tata Consultancy Services</w:t>
            </w:r>
          </w:p>
        </w:tc>
        <w:tc>
          <w:tcPr>
            <w:tcW w:type="dxa" w:w="1434"/>
            <w:shd w:fill="EAF2F8"/>
            <w:tcMar>
              <w:top w:w="25" w:type="dxa"/>
              <w:bottom w:w="25" w:type="dxa"/>
              <w:left w:w="40" w:type="dxa"/>
              <w:right w:w="40" w:type="dxa"/>
            </w:tcMar>
          </w:tcPr>
          <w:p>
            <w:r>
              <w:rPr>
                <w:color w:val="1E232A"/>
                <w:sz w:val="14"/>
              </w:rPr>
              <w:t>IT &amp; Technology</w:t>
            </w:r>
          </w:p>
        </w:tc>
        <w:tc>
          <w:tcPr>
            <w:tcW w:type="dxa" w:w="1434"/>
            <w:shd w:fill="EAF2F8"/>
            <w:tcMar>
              <w:top w:w="25" w:type="dxa"/>
              <w:bottom w:w="25" w:type="dxa"/>
              <w:left w:w="40" w:type="dxa"/>
              <w:right w:w="40" w:type="dxa"/>
            </w:tcMar>
          </w:tcPr>
          <w:p>
            <w:r>
              <w:rPr>
                <w:b/>
                <w:color w:val="1E232A"/>
                <w:sz w:val="14"/>
              </w:rPr>
              <w:t>21.5%</w:t>
            </w:r>
          </w:p>
        </w:tc>
        <w:tc>
          <w:tcPr>
            <w:tcW w:type="dxa" w:w="1434"/>
            <w:shd w:fill="EAF2F8"/>
            <w:tcMar>
              <w:top w:w="25" w:type="dxa"/>
              <w:bottom w:w="25" w:type="dxa"/>
              <w:left w:w="40" w:type="dxa"/>
              <w:right w:w="40" w:type="dxa"/>
            </w:tcMar>
          </w:tcPr>
          <w:p>
            <w:r>
              <w:rPr>
                <w:color w:val="1E232A"/>
                <w:sz w:val="14"/>
              </w:rPr>
              <w:t>₹3,912.10</w:t>
            </w:r>
          </w:p>
        </w:tc>
        <w:tc>
          <w:tcPr>
            <w:tcW w:type="dxa" w:w="1434"/>
            <w:shd w:fill="EAF2F8"/>
            <w:tcMar>
              <w:top w:w="25" w:type="dxa"/>
              <w:bottom w:w="25" w:type="dxa"/>
              <w:left w:w="40" w:type="dxa"/>
              <w:right w:w="40" w:type="dxa"/>
            </w:tcMar>
          </w:tcPr>
          <w:p>
            <w:r>
              <w:rPr>
                <w:color w:val="1E232A"/>
                <w:sz w:val="14"/>
              </w:rPr>
              <w:t>91 / 100</w:t>
            </w:r>
          </w:p>
        </w:tc>
        <w:tc>
          <w:tcPr>
            <w:tcW w:type="dxa" w:w="1434"/>
            <w:shd w:fill="EAF2F8"/>
            <w:tcMar>
              <w:top w:w="25" w:type="dxa"/>
              <w:bottom w:w="25" w:type="dxa"/>
              <w:left w:w="40" w:type="dxa"/>
              <w:right w:w="40" w:type="dxa"/>
            </w:tcMar>
          </w:tcPr>
          <w:p>
            <w:r>
              <w:rPr>
                <w:b/>
                <w:color w:val="147828"/>
                <w:sz w:val="14"/>
              </w:rPr>
              <w:t>STRONG BUY</w:t>
            </w:r>
          </w:p>
        </w:tc>
      </w:tr>
      <w:tr>
        <w:tc>
          <w:tcPr>
            <w:tcW w:type="dxa" w:w="1434"/>
            <w:shd w:fill="EAF2F8"/>
            <w:tcMar>
              <w:top w:w="25" w:type="dxa"/>
              <w:bottom w:w="25" w:type="dxa"/>
              <w:left w:w="40" w:type="dxa"/>
              <w:right w:w="40" w:type="dxa"/>
            </w:tcMar>
          </w:tcPr>
          <w:p>
            <w:r>
              <w:rPr>
                <w:b/>
                <w:color w:val="1E232A"/>
                <w:sz w:val="14"/>
              </w:rPr>
              <w:t>HDFCBANK</w:t>
            </w:r>
          </w:p>
        </w:tc>
        <w:tc>
          <w:tcPr>
            <w:tcW w:type="dxa" w:w="1434"/>
            <w:shd w:fill="EAF2F8"/>
            <w:tcMar>
              <w:top w:w="25" w:type="dxa"/>
              <w:bottom w:w="25" w:type="dxa"/>
              <w:left w:w="40" w:type="dxa"/>
              <w:right w:w="40" w:type="dxa"/>
            </w:tcMar>
          </w:tcPr>
          <w:p>
            <w:r>
              <w:rPr>
                <w:color w:val="1E232A"/>
                <w:sz w:val="14"/>
              </w:rPr>
              <w:t>HDFC Bank Ltd</w:t>
            </w:r>
          </w:p>
        </w:tc>
        <w:tc>
          <w:tcPr>
            <w:tcW w:type="dxa" w:w="1434"/>
            <w:shd w:fill="EAF2F8"/>
            <w:tcMar>
              <w:top w:w="25" w:type="dxa"/>
              <w:bottom w:w="25" w:type="dxa"/>
              <w:left w:w="40" w:type="dxa"/>
              <w:right w:w="40" w:type="dxa"/>
            </w:tcMar>
          </w:tcPr>
          <w:p>
            <w:r>
              <w:rPr>
                <w:color w:val="1E232A"/>
                <w:sz w:val="14"/>
              </w:rPr>
              <w:t>Financial Services</w:t>
            </w:r>
          </w:p>
        </w:tc>
        <w:tc>
          <w:tcPr>
            <w:tcW w:type="dxa" w:w="1434"/>
            <w:shd w:fill="EAF2F8"/>
            <w:tcMar>
              <w:top w:w="25" w:type="dxa"/>
              <w:bottom w:w="25" w:type="dxa"/>
              <w:left w:w="40" w:type="dxa"/>
              <w:right w:w="40" w:type="dxa"/>
            </w:tcMar>
          </w:tcPr>
          <w:p>
            <w:r>
              <w:rPr>
                <w:b/>
                <w:color w:val="1E232A"/>
                <w:sz w:val="14"/>
              </w:rPr>
              <w:t>18.7%</w:t>
            </w:r>
          </w:p>
        </w:tc>
        <w:tc>
          <w:tcPr>
            <w:tcW w:type="dxa" w:w="1434"/>
            <w:shd w:fill="EAF2F8"/>
            <w:tcMar>
              <w:top w:w="25" w:type="dxa"/>
              <w:bottom w:w="25" w:type="dxa"/>
              <w:left w:w="40" w:type="dxa"/>
              <w:right w:w="40" w:type="dxa"/>
            </w:tcMar>
          </w:tcPr>
          <w:p>
            <w:r>
              <w:rPr>
                <w:color w:val="1E232A"/>
                <w:sz w:val="14"/>
              </w:rPr>
              <w:t>₹1,682.40</w:t>
            </w:r>
          </w:p>
        </w:tc>
        <w:tc>
          <w:tcPr>
            <w:tcW w:type="dxa" w:w="1434"/>
            <w:shd w:fill="EAF2F8"/>
            <w:tcMar>
              <w:top w:w="25" w:type="dxa"/>
              <w:bottom w:w="25" w:type="dxa"/>
              <w:left w:w="40" w:type="dxa"/>
              <w:right w:w="40" w:type="dxa"/>
            </w:tcMar>
          </w:tcPr>
          <w:p>
            <w:r>
              <w:rPr>
                <w:color w:val="1E232A"/>
                <w:sz w:val="14"/>
              </w:rPr>
              <w:t>89 / 100</w:t>
            </w:r>
          </w:p>
        </w:tc>
        <w:tc>
          <w:tcPr>
            <w:tcW w:type="dxa" w:w="1434"/>
            <w:shd w:fill="EAF2F8"/>
            <w:tcMar>
              <w:top w:w="25" w:type="dxa"/>
              <w:bottom w:w="25" w:type="dxa"/>
              <w:left w:w="40" w:type="dxa"/>
              <w:right w:w="40" w:type="dxa"/>
            </w:tcMar>
          </w:tcPr>
          <w:p>
            <w:r>
              <w:rPr>
                <w:b/>
                <w:color w:val="147828"/>
                <w:sz w:val="14"/>
              </w:rPr>
              <w:t>STRONG BUY</w:t>
            </w:r>
          </w:p>
        </w:tc>
      </w:tr>
      <w:tr>
        <w:tc>
          <w:tcPr>
            <w:tcW w:type="dxa" w:w="1434"/>
            <w:shd w:fill="EAF2F8"/>
            <w:tcMar>
              <w:top w:w="25" w:type="dxa"/>
              <w:bottom w:w="25" w:type="dxa"/>
              <w:left w:w="40" w:type="dxa"/>
              <w:right w:w="40" w:type="dxa"/>
            </w:tcMar>
          </w:tcPr>
          <w:p>
            <w:r>
              <w:rPr>
                <w:b/>
                <w:color w:val="1E232A"/>
                <w:sz w:val="14"/>
              </w:rPr>
              <w:t>INFY</w:t>
            </w:r>
          </w:p>
        </w:tc>
        <w:tc>
          <w:tcPr>
            <w:tcW w:type="dxa" w:w="1434"/>
            <w:shd w:fill="EAF2F8"/>
            <w:tcMar>
              <w:top w:w="25" w:type="dxa"/>
              <w:bottom w:w="25" w:type="dxa"/>
              <w:left w:w="40" w:type="dxa"/>
              <w:right w:w="40" w:type="dxa"/>
            </w:tcMar>
          </w:tcPr>
          <w:p>
            <w:r>
              <w:rPr>
                <w:color w:val="1E232A"/>
                <w:sz w:val="14"/>
              </w:rPr>
              <w:t>Infosys Ltd</w:t>
            </w:r>
          </w:p>
        </w:tc>
        <w:tc>
          <w:tcPr>
            <w:tcW w:type="dxa" w:w="1434"/>
            <w:shd w:fill="EAF2F8"/>
            <w:tcMar>
              <w:top w:w="25" w:type="dxa"/>
              <w:bottom w:w="25" w:type="dxa"/>
              <w:left w:w="40" w:type="dxa"/>
              <w:right w:w="40" w:type="dxa"/>
            </w:tcMar>
          </w:tcPr>
          <w:p>
            <w:r>
              <w:rPr>
                <w:color w:val="1E232A"/>
                <w:sz w:val="14"/>
              </w:rPr>
              <w:t>IT &amp; Technology</w:t>
            </w:r>
          </w:p>
        </w:tc>
        <w:tc>
          <w:tcPr>
            <w:tcW w:type="dxa" w:w="1434"/>
            <w:shd w:fill="EAF2F8"/>
            <w:tcMar>
              <w:top w:w="25" w:type="dxa"/>
              <w:bottom w:w="25" w:type="dxa"/>
              <w:left w:w="40" w:type="dxa"/>
              <w:right w:w="40" w:type="dxa"/>
            </w:tcMar>
          </w:tcPr>
          <w:p>
            <w:r>
              <w:rPr>
                <w:b/>
                <w:color w:val="1E232A"/>
                <w:sz w:val="14"/>
              </w:rPr>
              <w:t>14.6%</w:t>
            </w:r>
          </w:p>
        </w:tc>
        <w:tc>
          <w:tcPr>
            <w:tcW w:type="dxa" w:w="1434"/>
            <w:shd w:fill="EAF2F8"/>
            <w:tcMar>
              <w:top w:w="25" w:type="dxa"/>
              <w:bottom w:w="25" w:type="dxa"/>
              <w:left w:w="40" w:type="dxa"/>
              <w:right w:w="40" w:type="dxa"/>
            </w:tcMar>
          </w:tcPr>
          <w:p>
            <w:r>
              <w:rPr>
                <w:color w:val="1E232A"/>
                <w:sz w:val="14"/>
              </w:rPr>
              <w:t>₹1,845.30</w:t>
            </w:r>
          </w:p>
        </w:tc>
        <w:tc>
          <w:tcPr>
            <w:tcW w:type="dxa" w:w="1434"/>
            <w:shd w:fill="EAF2F8"/>
            <w:tcMar>
              <w:top w:w="25" w:type="dxa"/>
              <w:bottom w:w="25" w:type="dxa"/>
              <w:left w:w="40" w:type="dxa"/>
              <w:right w:w="40" w:type="dxa"/>
            </w:tcMar>
          </w:tcPr>
          <w:p>
            <w:r>
              <w:rPr>
                <w:color w:val="1E232A"/>
                <w:sz w:val="14"/>
              </w:rPr>
              <w:t>88 / 100</w:t>
            </w:r>
          </w:p>
        </w:tc>
        <w:tc>
          <w:tcPr>
            <w:tcW w:type="dxa" w:w="1434"/>
            <w:shd w:fill="EAF2F8"/>
            <w:tcMar>
              <w:top w:w="25" w:type="dxa"/>
              <w:bottom w:w="25" w:type="dxa"/>
              <w:left w:w="40" w:type="dxa"/>
              <w:right w:w="40" w:type="dxa"/>
            </w:tcMar>
          </w:tcPr>
          <w:p>
            <w:r>
              <w:rPr>
                <w:b/>
                <w:color w:val="147828"/>
                <w:sz w:val="14"/>
              </w:rPr>
              <w:t>BUY</w:t>
            </w:r>
          </w:p>
        </w:tc>
      </w:tr>
      <w:tr>
        <w:tc>
          <w:tcPr>
            <w:tcW w:type="dxa" w:w="1434"/>
            <w:shd w:fill="EAF2F8"/>
            <w:tcMar>
              <w:top w:w="25" w:type="dxa"/>
              <w:bottom w:w="25" w:type="dxa"/>
              <w:left w:w="40" w:type="dxa"/>
              <w:right w:w="40" w:type="dxa"/>
            </w:tcMar>
          </w:tcPr>
          <w:p>
            <w:r>
              <w:rPr>
                <w:b/>
                <w:color w:val="1E232A"/>
                <w:sz w:val="14"/>
              </w:rPr>
              <w:t>ICICIBANK</w:t>
            </w:r>
          </w:p>
        </w:tc>
        <w:tc>
          <w:tcPr>
            <w:tcW w:type="dxa" w:w="1434"/>
            <w:shd w:fill="EAF2F8"/>
            <w:tcMar>
              <w:top w:w="25" w:type="dxa"/>
              <w:bottom w:w="25" w:type="dxa"/>
              <w:left w:w="40" w:type="dxa"/>
              <w:right w:w="40" w:type="dxa"/>
            </w:tcMar>
          </w:tcPr>
          <w:p>
            <w:r>
              <w:rPr>
                <w:color w:val="1E232A"/>
                <w:sz w:val="14"/>
              </w:rPr>
              <w:t>ICICI Bank Ltd</w:t>
            </w:r>
          </w:p>
        </w:tc>
        <w:tc>
          <w:tcPr>
            <w:tcW w:type="dxa" w:w="1434"/>
            <w:shd w:fill="EAF2F8"/>
            <w:tcMar>
              <w:top w:w="25" w:type="dxa"/>
              <w:bottom w:w="25" w:type="dxa"/>
              <w:left w:w="40" w:type="dxa"/>
              <w:right w:w="40" w:type="dxa"/>
            </w:tcMar>
          </w:tcPr>
          <w:p>
            <w:r>
              <w:rPr>
                <w:color w:val="1E232A"/>
                <w:sz w:val="14"/>
              </w:rPr>
              <w:t>Financial Services</w:t>
            </w:r>
          </w:p>
        </w:tc>
        <w:tc>
          <w:tcPr>
            <w:tcW w:type="dxa" w:w="1434"/>
            <w:shd w:fill="EAF2F8"/>
            <w:tcMar>
              <w:top w:w="25" w:type="dxa"/>
              <w:bottom w:w="25" w:type="dxa"/>
              <w:left w:w="40" w:type="dxa"/>
              <w:right w:w="40" w:type="dxa"/>
            </w:tcMar>
          </w:tcPr>
          <w:p>
            <w:r>
              <w:rPr>
                <w:b/>
                <w:color w:val="1E232A"/>
                <w:sz w:val="14"/>
              </w:rPr>
              <w:t>12.0%</w:t>
            </w:r>
          </w:p>
        </w:tc>
        <w:tc>
          <w:tcPr>
            <w:tcW w:type="dxa" w:w="1434"/>
            <w:shd w:fill="EAF2F8"/>
            <w:tcMar>
              <w:top w:w="25" w:type="dxa"/>
              <w:bottom w:w="25" w:type="dxa"/>
              <w:left w:w="40" w:type="dxa"/>
              <w:right w:w="40" w:type="dxa"/>
            </w:tcMar>
          </w:tcPr>
          <w:p>
            <w:r>
              <w:rPr>
                <w:color w:val="1E232A"/>
                <w:sz w:val="14"/>
              </w:rPr>
              <w:t>₹1,264.80</w:t>
            </w:r>
          </w:p>
        </w:tc>
        <w:tc>
          <w:tcPr>
            <w:tcW w:type="dxa" w:w="1434"/>
            <w:shd w:fill="EAF2F8"/>
            <w:tcMar>
              <w:top w:w="25" w:type="dxa"/>
              <w:bottom w:w="25" w:type="dxa"/>
              <w:left w:w="40" w:type="dxa"/>
              <w:right w:w="40" w:type="dxa"/>
            </w:tcMar>
          </w:tcPr>
          <w:p>
            <w:r>
              <w:rPr>
                <w:color w:val="1E232A"/>
                <w:sz w:val="14"/>
              </w:rPr>
              <w:t>87 / 100</w:t>
            </w:r>
          </w:p>
        </w:tc>
        <w:tc>
          <w:tcPr>
            <w:tcW w:type="dxa" w:w="1434"/>
            <w:shd w:fill="EAF2F8"/>
            <w:tcMar>
              <w:top w:w="25" w:type="dxa"/>
              <w:bottom w:w="25" w:type="dxa"/>
              <w:left w:w="40" w:type="dxa"/>
              <w:right w:w="40" w:type="dxa"/>
            </w:tcMar>
          </w:tcPr>
          <w:p>
            <w:r>
              <w:rPr>
                <w:b/>
                <w:color w:val="147828"/>
                <w:sz w:val="14"/>
              </w:rPr>
              <w:t>BUY</w:t>
            </w:r>
          </w:p>
        </w:tc>
      </w:tr>
      <w:tr>
        <w:tc>
          <w:tcPr>
            <w:tcW w:type="dxa" w:w="1434"/>
            <w:shd w:fill="EAF2F8"/>
            <w:tcMar>
              <w:top w:w="25" w:type="dxa"/>
              <w:bottom w:w="25" w:type="dxa"/>
              <w:left w:w="40" w:type="dxa"/>
              <w:right w:w="40" w:type="dxa"/>
            </w:tcMar>
          </w:tcPr>
          <w:p>
            <w:r>
              <w:rPr>
                <w:b/>
                <w:color w:val="1E232A"/>
                <w:sz w:val="14"/>
              </w:rPr>
              <w:t>BHARTIARTL</w:t>
            </w:r>
          </w:p>
        </w:tc>
        <w:tc>
          <w:tcPr>
            <w:tcW w:type="dxa" w:w="1434"/>
            <w:shd w:fill="EAF2F8"/>
            <w:tcMar>
              <w:top w:w="25" w:type="dxa"/>
              <w:bottom w:w="25" w:type="dxa"/>
              <w:left w:w="40" w:type="dxa"/>
              <w:right w:w="40" w:type="dxa"/>
            </w:tcMar>
          </w:tcPr>
          <w:p>
            <w:r>
              <w:rPr>
                <w:color w:val="1E232A"/>
                <w:sz w:val="14"/>
              </w:rPr>
              <w:t>Bharti Airtel Ltd</w:t>
            </w:r>
          </w:p>
        </w:tc>
        <w:tc>
          <w:tcPr>
            <w:tcW w:type="dxa" w:w="1434"/>
            <w:shd w:fill="EAF2F8"/>
            <w:tcMar>
              <w:top w:w="25" w:type="dxa"/>
              <w:bottom w:w="25" w:type="dxa"/>
              <w:left w:w="40" w:type="dxa"/>
              <w:right w:w="40" w:type="dxa"/>
            </w:tcMar>
          </w:tcPr>
          <w:p>
            <w:r>
              <w:rPr>
                <w:color w:val="1E232A"/>
                <w:sz w:val="14"/>
              </w:rPr>
              <w:t>Telecommunications</w:t>
            </w:r>
          </w:p>
        </w:tc>
        <w:tc>
          <w:tcPr>
            <w:tcW w:type="dxa" w:w="1434"/>
            <w:shd w:fill="EAF2F8"/>
            <w:tcMar>
              <w:top w:w="25" w:type="dxa"/>
              <w:bottom w:w="25" w:type="dxa"/>
              <w:left w:w="40" w:type="dxa"/>
              <w:right w:w="40" w:type="dxa"/>
            </w:tcMar>
          </w:tcPr>
          <w:p>
            <w:r>
              <w:rPr>
                <w:b/>
                <w:color w:val="1E232A"/>
                <w:sz w:val="14"/>
              </w:rPr>
              <w:t>9.0%</w:t>
            </w:r>
          </w:p>
        </w:tc>
        <w:tc>
          <w:tcPr>
            <w:tcW w:type="dxa" w:w="1434"/>
            <w:shd w:fill="EAF2F8"/>
            <w:tcMar>
              <w:top w:w="25" w:type="dxa"/>
              <w:bottom w:w="25" w:type="dxa"/>
              <w:left w:w="40" w:type="dxa"/>
              <w:right w:w="40" w:type="dxa"/>
            </w:tcMar>
          </w:tcPr>
          <w:p>
            <w:r>
              <w:rPr>
                <w:color w:val="1E232A"/>
                <w:sz w:val="14"/>
              </w:rPr>
              <w:t>₹1,695.20</w:t>
            </w:r>
          </w:p>
        </w:tc>
        <w:tc>
          <w:tcPr>
            <w:tcW w:type="dxa" w:w="1434"/>
            <w:shd w:fill="EAF2F8"/>
            <w:tcMar>
              <w:top w:w="25" w:type="dxa"/>
              <w:bottom w:w="25" w:type="dxa"/>
              <w:left w:w="40" w:type="dxa"/>
              <w:right w:w="40" w:type="dxa"/>
            </w:tcMar>
          </w:tcPr>
          <w:p>
            <w:r>
              <w:rPr>
                <w:color w:val="1E232A"/>
                <w:sz w:val="14"/>
              </w:rPr>
              <w:t>86 / 100</w:t>
            </w:r>
          </w:p>
        </w:tc>
        <w:tc>
          <w:tcPr>
            <w:tcW w:type="dxa" w:w="1434"/>
            <w:shd w:fill="EAF2F8"/>
            <w:tcMar>
              <w:top w:w="25" w:type="dxa"/>
              <w:bottom w:w="25" w:type="dxa"/>
              <w:left w:w="40" w:type="dxa"/>
              <w:right w:w="40" w:type="dxa"/>
            </w:tcMar>
          </w:tcPr>
          <w:p>
            <w:r>
              <w:rPr>
                <w:b/>
                <w:color w:val="147828"/>
                <w:sz w:val="14"/>
              </w:rPr>
              <w:t>BUY</w:t>
            </w:r>
          </w:p>
        </w:tc>
      </w:tr>
      <w:tr>
        <w:tc>
          <w:tcPr>
            <w:tcW w:type="dxa" w:w="1434"/>
            <w:shd w:fill="FFFFFF"/>
            <w:tcMar>
              <w:top w:w="25" w:type="dxa"/>
              <w:bottom w:w="25" w:type="dxa"/>
              <w:left w:w="40" w:type="dxa"/>
              <w:right w:w="40" w:type="dxa"/>
            </w:tcMar>
          </w:tcPr>
          <w:p>
            <w:r>
              <w:rPr>
                <w:b/>
                <w:color w:val="1E232A"/>
                <w:sz w:val="14"/>
              </w:rPr>
              <w:t>ITC</w:t>
            </w:r>
          </w:p>
        </w:tc>
        <w:tc>
          <w:tcPr>
            <w:tcW w:type="dxa" w:w="1434"/>
            <w:shd w:fill="FFFFFF"/>
            <w:tcMar>
              <w:top w:w="25" w:type="dxa"/>
              <w:bottom w:w="25" w:type="dxa"/>
              <w:left w:w="40" w:type="dxa"/>
              <w:right w:w="40" w:type="dxa"/>
            </w:tcMar>
          </w:tcPr>
          <w:p>
            <w:r>
              <w:rPr>
                <w:color w:val="1E232A"/>
                <w:sz w:val="14"/>
              </w:rPr>
              <w:t>ITC Ltd</w:t>
            </w:r>
          </w:p>
        </w:tc>
        <w:tc>
          <w:tcPr>
            <w:tcW w:type="dxa" w:w="1434"/>
            <w:shd w:fill="FFFFFF"/>
            <w:tcMar>
              <w:top w:w="25" w:type="dxa"/>
              <w:bottom w:w="25" w:type="dxa"/>
              <w:left w:w="40" w:type="dxa"/>
              <w:right w:w="40" w:type="dxa"/>
            </w:tcMar>
          </w:tcPr>
          <w:p>
            <w:r>
              <w:rPr>
                <w:color w:val="1E232A"/>
                <w:sz w:val="14"/>
              </w:rPr>
              <w:t>FMCG &amp; Conglomerate</w:t>
            </w:r>
          </w:p>
        </w:tc>
        <w:tc>
          <w:tcPr>
            <w:tcW w:type="dxa" w:w="1434"/>
            <w:shd w:fill="FFFFFF"/>
            <w:tcMar>
              <w:top w:w="25" w:type="dxa"/>
              <w:bottom w:w="25" w:type="dxa"/>
              <w:left w:w="40" w:type="dxa"/>
              <w:right w:w="40" w:type="dxa"/>
            </w:tcMar>
          </w:tcPr>
          <w:p>
            <w:r>
              <w:rPr>
                <w:color w:val="1E232A"/>
                <w:sz w:val="14"/>
              </w:rPr>
              <w:t>0.0%</w:t>
            </w:r>
          </w:p>
        </w:tc>
        <w:tc>
          <w:tcPr>
            <w:tcW w:type="dxa" w:w="1434"/>
            <w:shd w:fill="FFFFFF"/>
            <w:tcMar>
              <w:top w:w="25" w:type="dxa"/>
              <w:bottom w:w="25" w:type="dxa"/>
              <w:left w:w="40" w:type="dxa"/>
              <w:right w:w="40" w:type="dxa"/>
            </w:tcMar>
          </w:tcPr>
          <w:p>
            <w:r>
              <w:rPr>
                <w:color w:val="1E232A"/>
                <w:sz w:val="14"/>
              </w:rPr>
              <w:t>₹478.20</w:t>
            </w:r>
          </w:p>
        </w:tc>
        <w:tc>
          <w:tcPr>
            <w:tcW w:type="dxa" w:w="1434"/>
            <w:shd w:fill="FFFFFF"/>
            <w:tcMar>
              <w:top w:w="25" w:type="dxa"/>
              <w:bottom w:w="25" w:type="dxa"/>
              <w:left w:w="40" w:type="dxa"/>
              <w:right w:w="40" w:type="dxa"/>
            </w:tcMar>
          </w:tcPr>
          <w:p>
            <w:r>
              <w:rPr>
                <w:color w:val="1E232A"/>
                <w:sz w:val="14"/>
              </w:rPr>
              <w:t>82 / 100</w:t>
            </w:r>
          </w:p>
        </w:tc>
        <w:tc>
          <w:tcPr>
            <w:tcW w:type="dxa" w:w="1434"/>
            <w:shd w:fill="FFFFFF"/>
            <w:tcMar>
              <w:top w:w="25" w:type="dxa"/>
              <w:bottom w:w="25" w:type="dxa"/>
              <w:left w:w="40" w:type="dxa"/>
              <w:right w:w="40" w:type="dxa"/>
            </w:tcMar>
          </w:tcPr>
          <w:p>
            <w:r>
              <w:rPr>
                <w:color w:val="1E232A"/>
                <w:sz w:val="14"/>
              </w:rPr>
              <w:t>HOLD / NEUTRAL</w:t>
            </w:r>
          </w:p>
        </w:tc>
      </w:tr>
      <w:tr>
        <w:tc>
          <w:tcPr>
            <w:tcW w:type="dxa" w:w="1434"/>
            <w:shd w:fill="F4F7FB"/>
            <w:tcMar>
              <w:top w:w="25" w:type="dxa"/>
              <w:bottom w:w="25" w:type="dxa"/>
              <w:left w:w="40" w:type="dxa"/>
              <w:right w:w="40" w:type="dxa"/>
            </w:tcMar>
          </w:tcPr>
          <w:p>
            <w:r>
              <w:rPr>
                <w:b/>
                <w:color w:val="1E232A"/>
                <w:sz w:val="14"/>
              </w:rPr>
              <w:t>SBIN</w:t>
            </w:r>
          </w:p>
        </w:tc>
        <w:tc>
          <w:tcPr>
            <w:tcW w:type="dxa" w:w="1434"/>
            <w:shd w:fill="F4F7FB"/>
            <w:tcMar>
              <w:top w:w="25" w:type="dxa"/>
              <w:bottom w:w="25" w:type="dxa"/>
              <w:left w:w="40" w:type="dxa"/>
              <w:right w:w="40" w:type="dxa"/>
            </w:tcMar>
          </w:tcPr>
          <w:p>
            <w:r>
              <w:rPr>
                <w:color w:val="1E232A"/>
                <w:sz w:val="14"/>
              </w:rPr>
              <w:t>State Bank of India</w:t>
            </w:r>
          </w:p>
        </w:tc>
        <w:tc>
          <w:tcPr>
            <w:tcW w:type="dxa" w:w="1434"/>
            <w:shd w:fill="F4F7FB"/>
            <w:tcMar>
              <w:top w:w="25" w:type="dxa"/>
              <w:bottom w:w="25" w:type="dxa"/>
              <w:left w:w="40" w:type="dxa"/>
              <w:right w:w="40" w:type="dxa"/>
            </w:tcMar>
          </w:tcPr>
          <w:p>
            <w:r>
              <w:rPr>
                <w:color w:val="1E232A"/>
                <w:sz w:val="14"/>
              </w:rPr>
              <w:t>Public Banking</w:t>
            </w:r>
          </w:p>
        </w:tc>
        <w:tc>
          <w:tcPr>
            <w:tcW w:type="dxa" w:w="1434"/>
            <w:shd w:fill="F4F7FB"/>
            <w:tcMar>
              <w:top w:w="25" w:type="dxa"/>
              <w:bottom w:w="25" w:type="dxa"/>
              <w:left w:w="40" w:type="dxa"/>
              <w:right w:w="40" w:type="dxa"/>
            </w:tcMar>
          </w:tcPr>
          <w:p>
            <w:r>
              <w:rPr>
                <w:color w:val="1E232A"/>
                <w:sz w:val="14"/>
              </w:rPr>
              <w:t>0.0%</w:t>
            </w:r>
          </w:p>
        </w:tc>
        <w:tc>
          <w:tcPr>
            <w:tcW w:type="dxa" w:w="1434"/>
            <w:shd w:fill="F4F7FB"/>
            <w:tcMar>
              <w:top w:w="25" w:type="dxa"/>
              <w:bottom w:w="25" w:type="dxa"/>
              <w:left w:w="40" w:type="dxa"/>
              <w:right w:w="40" w:type="dxa"/>
            </w:tcMar>
          </w:tcPr>
          <w:p>
            <w:r>
              <w:rPr>
                <w:color w:val="1E232A"/>
                <w:sz w:val="14"/>
              </w:rPr>
              <w:t>₹792.40</w:t>
            </w:r>
          </w:p>
        </w:tc>
        <w:tc>
          <w:tcPr>
            <w:tcW w:type="dxa" w:w="1434"/>
            <w:shd w:fill="F4F7FB"/>
            <w:tcMar>
              <w:top w:w="25" w:type="dxa"/>
              <w:bottom w:w="25" w:type="dxa"/>
              <w:left w:w="40" w:type="dxa"/>
              <w:right w:w="40" w:type="dxa"/>
            </w:tcMar>
          </w:tcPr>
          <w:p>
            <w:r>
              <w:rPr>
                <w:color w:val="1E232A"/>
                <w:sz w:val="14"/>
              </w:rPr>
              <w:t>80 / 100</w:t>
            </w:r>
          </w:p>
        </w:tc>
        <w:tc>
          <w:tcPr>
            <w:tcW w:type="dxa" w:w="1434"/>
            <w:shd w:fill="F4F7FB"/>
            <w:tcMar>
              <w:top w:w="25" w:type="dxa"/>
              <w:bottom w:w="25" w:type="dxa"/>
              <w:left w:w="40" w:type="dxa"/>
              <w:right w:w="40" w:type="dxa"/>
            </w:tcMar>
          </w:tcPr>
          <w:p>
            <w:r>
              <w:rPr>
                <w:color w:val="1E232A"/>
                <w:sz w:val="14"/>
              </w:rPr>
              <w:t>HOLD / NEUTRAL</w:t>
            </w:r>
          </w:p>
        </w:tc>
      </w:tr>
      <w:tr>
        <w:tc>
          <w:tcPr>
            <w:tcW w:type="dxa" w:w="1434"/>
            <w:shd w:fill="FFFFFF"/>
            <w:tcMar>
              <w:top w:w="25" w:type="dxa"/>
              <w:bottom w:w="25" w:type="dxa"/>
              <w:left w:w="40" w:type="dxa"/>
              <w:right w:w="40" w:type="dxa"/>
            </w:tcMar>
          </w:tcPr>
          <w:p>
            <w:r>
              <w:rPr>
                <w:b/>
                <w:color w:val="1E232A"/>
                <w:sz w:val="14"/>
              </w:rPr>
              <w:t>LICI</w:t>
            </w:r>
          </w:p>
        </w:tc>
        <w:tc>
          <w:tcPr>
            <w:tcW w:type="dxa" w:w="1434"/>
            <w:shd w:fill="FFFFFF"/>
            <w:tcMar>
              <w:top w:w="25" w:type="dxa"/>
              <w:bottom w:w="25" w:type="dxa"/>
              <w:left w:w="40" w:type="dxa"/>
              <w:right w:w="40" w:type="dxa"/>
            </w:tcMar>
          </w:tcPr>
          <w:p>
            <w:r>
              <w:rPr>
                <w:color w:val="1E232A"/>
                <w:sz w:val="14"/>
              </w:rPr>
              <w:t>Life Insurance Corp</w:t>
            </w:r>
          </w:p>
        </w:tc>
        <w:tc>
          <w:tcPr>
            <w:tcW w:type="dxa" w:w="1434"/>
            <w:shd w:fill="FFFFFF"/>
            <w:tcMar>
              <w:top w:w="25" w:type="dxa"/>
              <w:bottom w:w="25" w:type="dxa"/>
              <w:left w:w="40" w:type="dxa"/>
              <w:right w:w="40" w:type="dxa"/>
            </w:tcMar>
          </w:tcPr>
          <w:p>
            <w:r>
              <w:rPr>
                <w:color w:val="1E232A"/>
                <w:sz w:val="14"/>
              </w:rPr>
              <w:t>Insurance &amp; Finance</w:t>
            </w:r>
          </w:p>
        </w:tc>
        <w:tc>
          <w:tcPr>
            <w:tcW w:type="dxa" w:w="1434"/>
            <w:shd w:fill="FFFFFF"/>
            <w:tcMar>
              <w:top w:w="25" w:type="dxa"/>
              <w:bottom w:w="25" w:type="dxa"/>
              <w:left w:w="40" w:type="dxa"/>
              <w:right w:w="40" w:type="dxa"/>
            </w:tcMar>
          </w:tcPr>
          <w:p>
            <w:r>
              <w:rPr>
                <w:color w:val="1E232A"/>
                <w:sz w:val="14"/>
              </w:rPr>
              <w:t>0.0%</w:t>
            </w:r>
          </w:p>
        </w:tc>
        <w:tc>
          <w:tcPr>
            <w:tcW w:type="dxa" w:w="1434"/>
            <w:shd w:fill="FFFFFF"/>
            <w:tcMar>
              <w:top w:w="25" w:type="dxa"/>
              <w:bottom w:w="25" w:type="dxa"/>
              <w:left w:w="40" w:type="dxa"/>
              <w:right w:w="40" w:type="dxa"/>
            </w:tcMar>
          </w:tcPr>
          <w:p>
            <w:r>
              <w:rPr>
                <w:color w:val="1E232A"/>
                <w:sz w:val="14"/>
              </w:rPr>
              <w:t>₹942.60</w:t>
            </w:r>
          </w:p>
        </w:tc>
        <w:tc>
          <w:tcPr>
            <w:tcW w:type="dxa" w:w="1434"/>
            <w:shd w:fill="FFFFFF"/>
            <w:tcMar>
              <w:top w:w="25" w:type="dxa"/>
              <w:bottom w:w="25" w:type="dxa"/>
              <w:left w:w="40" w:type="dxa"/>
              <w:right w:w="40" w:type="dxa"/>
            </w:tcMar>
          </w:tcPr>
          <w:p>
            <w:r>
              <w:rPr>
                <w:color w:val="1E232A"/>
                <w:sz w:val="14"/>
              </w:rPr>
              <w:t>78 / 100</w:t>
            </w:r>
          </w:p>
        </w:tc>
        <w:tc>
          <w:tcPr>
            <w:tcW w:type="dxa" w:w="1434"/>
            <w:shd w:fill="FFFFFF"/>
            <w:tcMar>
              <w:top w:w="25" w:type="dxa"/>
              <w:bottom w:w="25" w:type="dxa"/>
              <w:left w:w="40" w:type="dxa"/>
              <w:right w:w="40" w:type="dxa"/>
            </w:tcMar>
          </w:tcPr>
          <w:p>
            <w:r>
              <w:rPr>
                <w:color w:val="1E232A"/>
                <w:sz w:val="14"/>
              </w:rPr>
              <w:t>HOLD / NEUTRAL</w:t>
            </w:r>
          </w:p>
        </w:tc>
      </w:tr>
      <w:tr>
        <w:tc>
          <w:tcPr>
            <w:tcW w:type="dxa" w:w="1434"/>
            <w:shd w:fill="F4F7FB"/>
            <w:tcMar>
              <w:top w:w="25" w:type="dxa"/>
              <w:bottom w:w="25" w:type="dxa"/>
              <w:left w:w="40" w:type="dxa"/>
              <w:right w:w="40" w:type="dxa"/>
            </w:tcMar>
          </w:tcPr>
          <w:p>
            <w:r>
              <w:rPr>
                <w:b/>
                <w:color w:val="1E232A"/>
                <w:sz w:val="14"/>
              </w:rPr>
              <w:t>HINDUNILVR</w:t>
            </w:r>
          </w:p>
        </w:tc>
        <w:tc>
          <w:tcPr>
            <w:tcW w:type="dxa" w:w="1434"/>
            <w:shd w:fill="F4F7FB"/>
            <w:tcMar>
              <w:top w:w="25" w:type="dxa"/>
              <w:bottom w:w="25" w:type="dxa"/>
              <w:left w:w="40" w:type="dxa"/>
              <w:right w:w="40" w:type="dxa"/>
            </w:tcMar>
          </w:tcPr>
          <w:p>
            <w:r>
              <w:rPr>
                <w:color w:val="1E232A"/>
                <w:sz w:val="14"/>
              </w:rPr>
              <w:t>Hindustan Unilever Ltd</w:t>
            </w:r>
          </w:p>
        </w:tc>
        <w:tc>
          <w:tcPr>
            <w:tcW w:type="dxa" w:w="1434"/>
            <w:shd w:fill="F4F7FB"/>
            <w:tcMar>
              <w:top w:w="25" w:type="dxa"/>
              <w:bottom w:w="25" w:type="dxa"/>
              <w:left w:w="40" w:type="dxa"/>
              <w:right w:w="40" w:type="dxa"/>
            </w:tcMar>
          </w:tcPr>
          <w:p>
            <w:r>
              <w:rPr>
                <w:color w:val="1E232A"/>
                <w:sz w:val="14"/>
              </w:rPr>
              <w:t>FMCG</w:t>
            </w:r>
          </w:p>
        </w:tc>
        <w:tc>
          <w:tcPr>
            <w:tcW w:type="dxa" w:w="1434"/>
            <w:shd w:fill="F4F7FB"/>
            <w:tcMar>
              <w:top w:w="25" w:type="dxa"/>
              <w:bottom w:w="25" w:type="dxa"/>
              <w:left w:w="40" w:type="dxa"/>
              <w:right w:w="40" w:type="dxa"/>
            </w:tcMar>
          </w:tcPr>
          <w:p>
            <w:r>
              <w:rPr>
                <w:color w:val="1E232A"/>
                <w:sz w:val="14"/>
              </w:rPr>
              <w:t>0.0%</w:t>
            </w:r>
          </w:p>
        </w:tc>
        <w:tc>
          <w:tcPr>
            <w:tcW w:type="dxa" w:w="1434"/>
            <w:shd w:fill="F4F7FB"/>
            <w:tcMar>
              <w:top w:w="25" w:type="dxa"/>
              <w:bottom w:w="25" w:type="dxa"/>
              <w:left w:w="40" w:type="dxa"/>
              <w:right w:w="40" w:type="dxa"/>
            </w:tcMar>
          </w:tcPr>
          <w:p>
            <w:r>
              <w:rPr>
                <w:color w:val="1E232A"/>
                <w:sz w:val="14"/>
              </w:rPr>
              <w:t>₹2,384.50</w:t>
            </w:r>
          </w:p>
        </w:tc>
        <w:tc>
          <w:tcPr>
            <w:tcW w:type="dxa" w:w="1434"/>
            <w:shd w:fill="F4F7FB"/>
            <w:tcMar>
              <w:top w:w="25" w:type="dxa"/>
              <w:bottom w:w="25" w:type="dxa"/>
              <w:left w:w="40" w:type="dxa"/>
              <w:right w:w="40" w:type="dxa"/>
            </w:tcMar>
          </w:tcPr>
          <w:p>
            <w:r>
              <w:rPr>
                <w:color w:val="1E232A"/>
                <w:sz w:val="14"/>
              </w:rPr>
              <w:t>76 / 100</w:t>
            </w:r>
          </w:p>
        </w:tc>
        <w:tc>
          <w:tcPr>
            <w:tcW w:type="dxa" w:w="1434"/>
            <w:shd w:fill="F4F7FB"/>
            <w:tcMar>
              <w:top w:w="25" w:type="dxa"/>
              <w:bottom w:w="25" w:type="dxa"/>
              <w:left w:w="40" w:type="dxa"/>
              <w:right w:w="40" w:type="dxa"/>
            </w:tcMar>
          </w:tcPr>
          <w:p>
            <w:r>
              <w:rPr>
                <w:color w:val="1E232A"/>
                <w:sz w:val="14"/>
              </w:rPr>
              <w:t>HOLD / NEUTRAL</w:t>
            </w:r>
          </w:p>
        </w:tc>
      </w:tr>
      <w:tr>
        <w:tc>
          <w:tcPr>
            <w:tcW w:type="dxa" w:w="1434"/>
            <w:shd w:fill="FFFFFF"/>
            <w:tcMar>
              <w:top w:w="25" w:type="dxa"/>
              <w:bottom w:w="25" w:type="dxa"/>
              <w:left w:w="40" w:type="dxa"/>
              <w:right w:w="40" w:type="dxa"/>
            </w:tcMar>
          </w:tcPr>
          <w:p>
            <w:r>
              <w:rPr>
                <w:b/>
                <w:color w:val="1E232A"/>
                <w:sz w:val="14"/>
              </w:rPr>
              <w:t>LT</w:t>
            </w:r>
          </w:p>
        </w:tc>
        <w:tc>
          <w:tcPr>
            <w:tcW w:type="dxa" w:w="1434"/>
            <w:shd w:fill="FFFFFF"/>
            <w:tcMar>
              <w:top w:w="25" w:type="dxa"/>
              <w:bottom w:w="25" w:type="dxa"/>
              <w:left w:w="40" w:type="dxa"/>
              <w:right w:w="40" w:type="dxa"/>
            </w:tcMar>
          </w:tcPr>
          <w:p>
            <w:r>
              <w:rPr>
                <w:color w:val="1E232A"/>
                <w:sz w:val="14"/>
              </w:rPr>
              <w:t>Larsen &amp; Toubro Ltd</w:t>
            </w:r>
          </w:p>
        </w:tc>
        <w:tc>
          <w:tcPr>
            <w:tcW w:type="dxa" w:w="1434"/>
            <w:shd w:fill="FFFFFF"/>
            <w:tcMar>
              <w:top w:w="25" w:type="dxa"/>
              <w:bottom w:w="25" w:type="dxa"/>
              <w:left w:w="40" w:type="dxa"/>
              <w:right w:w="40" w:type="dxa"/>
            </w:tcMar>
          </w:tcPr>
          <w:p>
            <w:r>
              <w:rPr>
                <w:color w:val="1E232A"/>
                <w:sz w:val="14"/>
              </w:rPr>
              <w:t>Engineering &amp; Infra</w:t>
            </w:r>
          </w:p>
        </w:tc>
        <w:tc>
          <w:tcPr>
            <w:tcW w:type="dxa" w:w="1434"/>
            <w:shd w:fill="FFFFFF"/>
            <w:tcMar>
              <w:top w:w="25" w:type="dxa"/>
              <w:bottom w:w="25" w:type="dxa"/>
              <w:left w:w="40" w:type="dxa"/>
              <w:right w:w="40" w:type="dxa"/>
            </w:tcMar>
          </w:tcPr>
          <w:p>
            <w:r>
              <w:rPr>
                <w:color w:val="1E232A"/>
                <w:sz w:val="14"/>
              </w:rPr>
              <w:t>0.0%</w:t>
            </w:r>
          </w:p>
        </w:tc>
        <w:tc>
          <w:tcPr>
            <w:tcW w:type="dxa" w:w="1434"/>
            <w:shd w:fill="FFFFFF"/>
            <w:tcMar>
              <w:top w:w="25" w:type="dxa"/>
              <w:bottom w:w="25" w:type="dxa"/>
              <w:left w:w="40" w:type="dxa"/>
              <w:right w:w="40" w:type="dxa"/>
            </w:tcMar>
          </w:tcPr>
          <w:p>
            <w:r>
              <w:rPr>
                <w:color w:val="1E232A"/>
                <w:sz w:val="14"/>
              </w:rPr>
              <w:t>₹3,540.00</w:t>
            </w:r>
          </w:p>
        </w:tc>
        <w:tc>
          <w:tcPr>
            <w:tcW w:type="dxa" w:w="1434"/>
            <w:shd w:fill="FFFFFF"/>
            <w:tcMar>
              <w:top w:w="25" w:type="dxa"/>
              <w:bottom w:w="25" w:type="dxa"/>
              <w:left w:w="40" w:type="dxa"/>
              <w:right w:w="40" w:type="dxa"/>
            </w:tcMar>
          </w:tcPr>
          <w:p>
            <w:r>
              <w:rPr>
                <w:color w:val="1E232A"/>
                <w:sz w:val="14"/>
              </w:rPr>
              <w:t>81 / 100</w:t>
            </w:r>
          </w:p>
        </w:tc>
        <w:tc>
          <w:tcPr>
            <w:tcW w:type="dxa" w:w="1434"/>
            <w:shd w:fill="FFFFFF"/>
            <w:tcMar>
              <w:top w:w="25" w:type="dxa"/>
              <w:bottom w:w="25" w:type="dxa"/>
              <w:left w:w="40" w:type="dxa"/>
              <w:right w:w="40" w:type="dxa"/>
            </w:tcMar>
          </w:tcPr>
          <w:p>
            <w:r>
              <w:rPr>
                <w:color w:val="1E232A"/>
                <w:sz w:val="14"/>
              </w:rPr>
              <w:t>HOLD / NEUTRAL</w:t>
            </w:r>
          </w:p>
        </w:tc>
      </w:tr>
      <w:tr>
        <w:tc>
          <w:tcPr>
            <w:tcW w:type="dxa" w:w="1434"/>
            <w:shd w:fill="F4F7FB"/>
            <w:tcMar>
              <w:top w:w="25" w:type="dxa"/>
              <w:bottom w:w="25" w:type="dxa"/>
              <w:left w:w="40" w:type="dxa"/>
              <w:right w:w="40" w:type="dxa"/>
            </w:tcMar>
          </w:tcPr>
          <w:p>
            <w:r>
              <w:rPr>
                <w:b/>
                <w:color w:val="1E232A"/>
                <w:sz w:val="14"/>
              </w:rPr>
              <w:t>BAJFINANCE</w:t>
            </w:r>
          </w:p>
        </w:tc>
        <w:tc>
          <w:tcPr>
            <w:tcW w:type="dxa" w:w="1434"/>
            <w:shd w:fill="F4F7FB"/>
            <w:tcMar>
              <w:top w:w="25" w:type="dxa"/>
              <w:bottom w:w="25" w:type="dxa"/>
              <w:left w:w="40" w:type="dxa"/>
              <w:right w:w="40" w:type="dxa"/>
            </w:tcMar>
          </w:tcPr>
          <w:p>
            <w:r>
              <w:rPr>
                <w:color w:val="1E232A"/>
                <w:sz w:val="14"/>
              </w:rPr>
              <w:t>Bajaj Finance Ltd</w:t>
            </w:r>
          </w:p>
        </w:tc>
        <w:tc>
          <w:tcPr>
            <w:tcW w:type="dxa" w:w="1434"/>
            <w:shd w:fill="F4F7FB"/>
            <w:tcMar>
              <w:top w:w="25" w:type="dxa"/>
              <w:bottom w:w="25" w:type="dxa"/>
              <w:left w:w="40" w:type="dxa"/>
              <w:right w:w="40" w:type="dxa"/>
            </w:tcMar>
          </w:tcPr>
          <w:p>
            <w:r>
              <w:rPr>
                <w:color w:val="1E232A"/>
                <w:sz w:val="14"/>
              </w:rPr>
              <w:t>NBFC &amp; Lending</w:t>
            </w:r>
          </w:p>
        </w:tc>
        <w:tc>
          <w:tcPr>
            <w:tcW w:type="dxa" w:w="1434"/>
            <w:shd w:fill="F4F7FB"/>
            <w:tcMar>
              <w:top w:w="25" w:type="dxa"/>
              <w:bottom w:w="25" w:type="dxa"/>
              <w:left w:w="40" w:type="dxa"/>
              <w:right w:w="40" w:type="dxa"/>
            </w:tcMar>
          </w:tcPr>
          <w:p>
            <w:r>
              <w:rPr>
                <w:color w:val="1E232A"/>
                <w:sz w:val="14"/>
              </w:rPr>
              <w:t>0.0%</w:t>
            </w:r>
          </w:p>
        </w:tc>
        <w:tc>
          <w:tcPr>
            <w:tcW w:type="dxa" w:w="1434"/>
            <w:shd w:fill="F4F7FB"/>
            <w:tcMar>
              <w:top w:w="25" w:type="dxa"/>
              <w:bottom w:w="25" w:type="dxa"/>
              <w:left w:w="40" w:type="dxa"/>
              <w:right w:w="40" w:type="dxa"/>
            </w:tcMar>
          </w:tcPr>
          <w:p>
            <w:r>
              <w:rPr>
                <w:color w:val="1E232A"/>
                <w:sz w:val="14"/>
              </w:rPr>
              <w:t>₹6,890.00</w:t>
            </w:r>
          </w:p>
        </w:tc>
        <w:tc>
          <w:tcPr>
            <w:tcW w:type="dxa" w:w="1434"/>
            <w:shd w:fill="F4F7FB"/>
            <w:tcMar>
              <w:top w:w="25" w:type="dxa"/>
              <w:bottom w:w="25" w:type="dxa"/>
              <w:left w:w="40" w:type="dxa"/>
              <w:right w:w="40" w:type="dxa"/>
            </w:tcMar>
          </w:tcPr>
          <w:p>
            <w:r>
              <w:rPr>
                <w:color w:val="1E232A"/>
                <w:sz w:val="14"/>
              </w:rPr>
              <w:t>79 / 100</w:t>
            </w:r>
          </w:p>
        </w:tc>
        <w:tc>
          <w:tcPr>
            <w:tcW w:type="dxa" w:w="1434"/>
            <w:shd w:fill="F4F7FB"/>
            <w:tcMar>
              <w:top w:w="25" w:type="dxa"/>
              <w:bottom w:w="25" w:type="dxa"/>
              <w:left w:w="40" w:type="dxa"/>
              <w:right w:w="40" w:type="dxa"/>
            </w:tcMar>
          </w:tcPr>
          <w:p>
            <w:r>
              <w:rPr>
                <w:color w:val="1E232A"/>
                <w:sz w:val="14"/>
              </w:rPr>
              <w:t>HOLD / NEUTRAL</w:t>
            </w:r>
          </w:p>
        </w:tc>
      </w:tr>
      <w:tr>
        <w:tc>
          <w:tcPr>
            <w:tcW w:type="dxa" w:w="1434"/>
            <w:shd w:fill="FFFFFF"/>
            <w:tcMar>
              <w:top w:w="25" w:type="dxa"/>
              <w:bottom w:w="25" w:type="dxa"/>
              <w:left w:w="40" w:type="dxa"/>
              <w:right w:w="40" w:type="dxa"/>
            </w:tcMar>
          </w:tcPr>
          <w:p>
            <w:r>
              <w:rPr>
                <w:b/>
                <w:color w:val="1E232A"/>
                <w:sz w:val="14"/>
              </w:rPr>
              <w:t>HCLTECH</w:t>
            </w:r>
          </w:p>
        </w:tc>
        <w:tc>
          <w:tcPr>
            <w:tcW w:type="dxa" w:w="1434"/>
            <w:shd w:fill="FFFFFF"/>
            <w:tcMar>
              <w:top w:w="25" w:type="dxa"/>
              <w:bottom w:w="25" w:type="dxa"/>
              <w:left w:w="40" w:type="dxa"/>
              <w:right w:w="40" w:type="dxa"/>
            </w:tcMar>
          </w:tcPr>
          <w:p>
            <w:r>
              <w:rPr>
                <w:color w:val="1E232A"/>
                <w:sz w:val="14"/>
              </w:rPr>
              <w:t>HCL Technologies Ltd</w:t>
            </w:r>
          </w:p>
        </w:tc>
        <w:tc>
          <w:tcPr>
            <w:tcW w:type="dxa" w:w="1434"/>
            <w:shd w:fill="FFFFFF"/>
            <w:tcMar>
              <w:top w:w="25" w:type="dxa"/>
              <w:bottom w:w="25" w:type="dxa"/>
              <w:left w:w="40" w:type="dxa"/>
              <w:right w:w="40" w:type="dxa"/>
            </w:tcMar>
          </w:tcPr>
          <w:p>
            <w:r>
              <w:rPr>
                <w:color w:val="1E232A"/>
                <w:sz w:val="14"/>
              </w:rPr>
              <w:t>IT Services</w:t>
            </w:r>
          </w:p>
        </w:tc>
        <w:tc>
          <w:tcPr>
            <w:tcW w:type="dxa" w:w="1434"/>
            <w:shd w:fill="FFFFFF"/>
            <w:tcMar>
              <w:top w:w="25" w:type="dxa"/>
              <w:bottom w:w="25" w:type="dxa"/>
              <w:left w:w="40" w:type="dxa"/>
              <w:right w:w="40" w:type="dxa"/>
            </w:tcMar>
          </w:tcPr>
          <w:p>
            <w:r>
              <w:rPr>
                <w:color w:val="1E232A"/>
                <w:sz w:val="14"/>
              </w:rPr>
              <w:t>0.0%</w:t>
            </w:r>
          </w:p>
        </w:tc>
        <w:tc>
          <w:tcPr>
            <w:tcW w:type="dxa" w:w="1434"/>
            <w:shd w:fill="FFFFFF"/>
            <w:tcMar>
              <w:top w:w="25" w:type="dxa"/>
              <w:bottom w:w="25" w:type="dxa"/>
              <w:left w:w="40" w:type="dxa"/>
              <w:right w:w="40" w:type="dxa"/>
            </w:tcMar>
          </w:tcPr>
          <w:p>
            <w:r>
              <w:rPr>
                <w:color w:val="1E232A"/>
                <w:sz w:val="14"/>
              </w:rPr>
              <w:t>₹1,820.40</w:t>
            </w:r>
          </w:p>
        </w:tc>
        <w:tc>
          <w:tcPr>
            <w:tcW w:type="dxa" w:w="1434"/>
            <w:shd w:fill="FFFFFF"/>
            <w:tcMar>
              <w:top w:w="25" w:type="dxa"/>
              <w:bottom w:w="25" w:type="dxa"/>
              <w:left w:w="40" w:type="dxa"/>
              <w:right w:w="40" w:type="dxa"/>
            </w:tcMar>
          </w:tcPr>
          <w:p>
            <w:r>
              <w:rPr>
                <w:color w:val="1E232A"/>
                <w:sz w:val="14"/>
              </w:rPr>
              <w:t>83 / 100</w:t>
            </w:r>
          </w:p>
        </w:tc>
        <w:tc>
          <w:tcPr>
            <w:tcW w:type="dxa" w:w="1434"/>
            <w:shd w:fill="FFFFFF"/>
            <w:tcMar>
              <w:top w:w="25" w:type="dxa"/>
              <w:bottom w:w="25" w:type="dxa"/>
              <w:left w:w="40" w:type="dxa"/>
              <w:right w:w="40" w:type="dxa"/>
            </w:tcMar>
          </w:tcPr>
          <w:p>
            <w:r>
              <w:rPr>
                <w:color w:val="1E232A"/>
                <w:sz w:val="14"/>
              </w:rPr>
              <w:t>HOLD / NEUTRAL</w:t>
            </w:r>
          </w:p>
        </w:tc>
      </w:tr>
      <w:tr>
        <w:tc>
          <w:tcPr>
            <w:tcW w:type="dxa" w:w="1434"/>
            <w:shd w:fill="F4F7FB"/>
            <w:tcMar>
              <w:top w:w="25" w:type="dxa"/>
              <w:bottom w:w="25" w:type="dxa"/>
              <w:left w:w="40" w:type="dxa"/>
              <w:right w:w="40" w:type="dxa"/>
            </w:tcMar>
          </w:tcPr>
          <w:p>
            <w:r>
              <w:rPr>
                <w:b/>
                <w:color w:val="1E232A"/>
                <w:sz w:val="14"/>
              </w:rPr>
              <w:t>MARUTI</w:t>
            </w:r>
          </w:p>
        </w:tc>
        <w:tc>
          <w:tcPr>
            <w:tcW w:type="dxa" w:w="1434"/>
            <w:shd w:fill="F4F7FB"/>
            <w:tcMar>
              <w:top w:w="25" w:type="dxa"/>
              <w:bottom w:w="25" w:type="dxa"/>
              <w:left w:w="40" w:type="dxa"/>
              <w:right w:w="40" w:type="dxa"/>
            </w:tcMar>
          </w:tcPr>
          <w:p>
            <w:r>
              <w:rPr>
                <w:color w:val="1E232A"/>
                <w:sz w:val="14"/>
              </w:rPr>
              <w:t>Maruti Suzuki India</w:t>
            </w:r>
          </w:p>
        </w:tc>
        <w:tc>
          <w:tcPr>
            <w:tcW w:type="dxa" w:w="1434"/>
            <w:shd w:fill="F4F7FB"/>
            <w:tcMar>
              <w:top w:w="25" w:type="dxa"/>
              <w:bottom w:w="25" w:type="dxa"/>
              <w:left w:w="40" w:type="dxa"/>
              <w:right w:w="40" w:type="dxa"/>
            </w:tcMar>
          </w:tcPr>
          <w:p>
            <w:r>
              <w:rPr>
                <w:color w:val="1E232A"/>
                <w:sz w:val="14"/>
              </w:rPr>
              <w:t>Automotive</w:t>
            </w:r>
          </w:p>
        </w:tc>
        <w:tc>
          <w:tcPr>
            <w:tcW w:type="dxa" w:w="1434"/>
            <w:shd w:fill="F4F7FB"/>
            <w:tcMar>
              <w:top w:w="25" w:type="dxa"/>
              <w:bottom w:w="25" w:type="dxa"/>
              <w:left w:w="40" w:type="dxa"/>
              <w:right w:w="40" w:type="dxa"/>
            </w:tcMar>
          </w:tcPr>
          <w:p>
            <w:r>
              <w:rPr>
                <w:color w:val="1E232A"/>
                <w:sz w:val="14"/>
              </w:rPr>
              <w:t>0.0%</w:t>
            </w:r>
          </w:p>
        </w:tc>
        <w:tc>
          <w:tcPr>
            <w:tcW w:type="dxa" w:w="1434"/>
            <w:shd w:fill="F4F7FB"/>
            <w:tcMar>
              <w:top w:w="25" w:type="dxa"/>
              <w:bottom w:w="25" w:type="dxa"/>
              <w:left w:w="40" w:type="dxa"/>
              <w:right w:w="40" w:type="dxa"/>
            </w:tcMar>
          </w:tcPr>
          <w:p>
            <w:r>
              <w:rPr>
                <w:color w:val="1E232A"/>
                <w:sz w:val="14"/>
              </w:rPr>
              <w:t>₹11,450.00</w:t>
            </w:r>
          </w:p>
        </w:tc>
        <w:tc>
          <w:tcPr>
            <w:tcW w:type="dxa" w:w="1434"/>
            <w:shd w:fill="F4F7FB"/>
            <w:tcMar>
              <w:top w:w="25" w:type="dxa"/>
              <w:bottom w:w="25" w:type="dxa"/>
              <w:left w:w="40" w:type="dxa"/>
              <w:right w:w="40" w:type="dxa"/>
            </w:tcMar>
          </w:tcPr>
          <w:p>
            <w:r>
              <w:rPr>
                <w:color w:val="1E232A"/>
                <w:sz w:val="14"/>
              </w:rPr>
              <w:t>75 / 100</w:t>
            </w:r>
          </w:p>
        </w:tc>
        <w:tc>
          <w:tcPr>
            <w:tcW w:type="dxa" w:w="1434"/>
            <w:shd w:fill="F4F7FB"/>
            <w:tcMar>
              <w:top w:w="25" w:type="dxa"/>
              <w:bottom w:w="25" w:type="dxa"/>
              <w:left w:w="40" w:type="dxa"/>
              <w:right w:w="40" w:type="dxa"/>
            </w:tcMar>
          </w:tcPr>
          <w:p>
            <w:r>
              <w:rPr>
                <w:color w:val="1E232A"/>
                <w:sz w:val="14"/>
              </w:rPr>
              <w:t>HOLD / NEUTRAL</w:t>
            </w:r>
          </w:p>
        </w:tc>
      </w:tr>
      <w:tr>
        <w:tc>
          <w:tcPr>
            <w:tcW w:type="dxa" w:w="1434"/>
            <w:shd w:fill="FFFFFF"/>
            <w:tcMar>
              <w:top w:w="25" w:type="dxa"/>
              <w:bottom w:w="25" w:type="dxa"/>
              <w:left w:w="40" w:type="dxa"/>
              <w:right w:w="40" w:type="dxa"/>
            </w:tcMar>
          </w:tcPr>
          <w:p>
            <w:r>
              <w:rPr>
                <w:b/>
                <w:color w:val="1E232A"/>
                <w:sz w:val="14"/>
              </w:rPr>
              <w:t>SUNPHARMA</w:t>
            </w:r>
          </w:p>
        </w:tc>
        <w:tc>
          <w:tcPr>
            <w:tcW w:type="dxa" w:w="1434"/>
            <w:shd w:fill="FFFFFF"/>
            <w:tcMar>
              <w:top w:w="25" w:type="dxa"/>
              <w:bottom w:w="25" w:type="dxa"/>
              <w:left w:w="40" w:type="dxa"/>
              <w:right w:w="40" w:type="dxa"/>
            </w:tcMar>
          </w:tcPr>
          <w:p>
            <w:r>
              <w:rPr>
                <w:color w:val="1E232A"/>
                <w:sz w:val="14"/>
              </w:rPr>
              <w:t>Sun Pharma Industries</w:t>
            </w:r>
          </w:p>
        </w:tc>
        <w:tc>
          <w:tcPr>
            <w:tcW w:type="dxa" w:w="1434"/>
            <w:shd w:fill="FFFFFF"/>
            <w:tcMar>
              <w:top w:w="25" w:type="dxa"/>
              <w:bottom w:w="25" w:type="dxa"/>
              <w:left w:w="40" w:type="dxa"/>
              <w:right w:w="40" w:type="dxa"/>
            </w:tcMar>
          </w:tcPr>
          <w:p>
            <w:r>
              <w:rPr>
                <w:color w:val="1E232A"/>
                <w:sz w:val="14"/>
              </w:rPr>
              <w:t>Pharmaceuticals</w:t>
            </w:r>
          </w:p>
        </w:tc>
        <w:tc>
          <w:tcPr>
            <w:tcW w:type="dxa" w:w="1434"/>
            <w:shd w:fill="FFFFFF"/>
            <w:tcMar>
              <w:top w:w="25" w:type="dxa"/>
              <w:bottom w:w="25" w:type="dxa"/>
              <w:left w:w="40" w:type="dxa"/>
              <w:right w:w="40" w:type="dxa"/>
            </w:tcMar>
          </w:tcPr>
          <w:p>
            <w:r>
              <w:rPr>
                <w:color w:val="1E232A"/>
                <w:sz w:val="14"/>
              </w:rPr>
              <w:t>0.0%</w:t>
            </w:r>
          </w:p>
        </w:tc>
        <w:tc>
          <w:tcPr>
            <w:tcW w:type="dxa" w:w="1434"/>
            <w:shd w:fill="FFFFFF"/>
            <w:tcMar>
              <w:top w:w="25" w:type="dxa"/>
              <w:bottom w:w="25" w:type="dxa"/>
              <w:left w:w="40" w:type="dxa"/>
              <w:right w:w="40" w:type="dxa"/>
            </w:tcMar>
          </w:tcPr>
          <w:p>
            <w:r>
              <w:rPr>
                <w:color w:val="1E232A"/>
                <w:sz w:val="14"/>
              </w:rPr>
              <w:t>₹1,740.00</w:t>
            </w:r>
          </w:p>
        </w:tc>
        <w:tc>
          <w:tcPr>
            <w:tcW w:type="dxa" w:w="1434"/>
            <w:shd w:fill="FFFFFF"/>
            <w:tcMar>
              <w:top w:w="25" w:type="dxa"/>
              <w:bottom w:w="25" w:type="dxa"/>
              <w:left w:w="40" w:type="dxa"/>
              <w:right w:w="40" w:type="dxa"/>
            </w:tcMar>
          </w:tcPr>
          <w:p>
            <w:r>
              <w:rPr>
                <w:color w:val="1E232A"/>
                <w:sz w:val="14"/>
              </w:rPr>
              <w:t>84 / 100</w:t>
            </w:r>
          </w:p>
        </w:tc>
        <w:tc>
          <w:tcPr>
            <w:tcW w:type="dxa" w:w="1434"/>
            <w:shd w:fill="FFFFFF"/>
            <w:tcMar>
              <w:top w:w="25" w:type="dxa"/>
              <w:bottom w:w="25" w:type="dxa"/>
              <w:left w:w="40" w:type="dxa"/>
              <w:right w:w="40" w:type="dxa"/>
            </w:tcMar>
          </w:tcPr>
          <w:p>
            <w:r>
              <w:rPr>
                <w:color w:val="1E232A"/>
                <w:sz w:val="14"/>
              </w:rPr>
              <w:t>HOLD / NEUTRAL</w:t>
            </w:r>
          </w:p>
        </w:tc>
      </w:tr>
      <w:tr>
        <w:tc>
          <w:tcPr>
            <w:tcW w:type="dxa" w:w="1434"/>
            <w:shd w:fill="F4F7FB"/>
            <w:tcMar>
              <w:top w:w="25" w:type="dxa"/>
              <w:bottom w:w="25" w:type="dxa"/>
              <w:left w:w="40" w:type="dxa"/>
              <w:right w:w="40" w:type="dxa"/>
            </w:tcMar>
          </w:tcPr>
          <w:p>
            <w:r>
              <w:rPr>
                <w:b/>
                <w:color w:val="1E232A"/>
                <w:sz w:val="14"/>
              </w:rPr>
              <w:t>ADANIENT</w:t>
            </w:r>
          </w:p>
        </w:tc>
        <w:tc>
          <w:tcPr>
            <w:tcW w:type="dxa" w:w="1434"/>
            <w:shd w:fill="F4F7FB"/>
            <w:tcMar>
              <w:top w:w="25" w:type="dxa"/>
              <w:bottom w:w="25" w:type="dxa"/>
              <w:left w:w="40" w:type="dxa"/>
              <w:right w:w="40" w:type="dxa"/>
            </w:tcMar>
          </w:tcPr>
          <w:p>
            <w:r>
              <w:rPr>
                <w:color w:val="1E232A"/>
                <w:sz w:val="14"/>
              </w:rPr>
              <w:t>Adani Enterprises Ltd</w:t>
            </w:r>
          </w:p>
        </w:tc>
        <w:tc>
          <w:tcPr>
            <w:tcW w:type="dxa" w:w="1434"/>
            <w:shd w:fill="F4F7FB"/>
            <w:tcMar>
              <w:top w:w="25" w:type="dxa"/>
              <w:bottom w:w="25" w:type="dxa"/>
              <w:left w:w="40" w:type="dxa"/>
              <w:right w:w="40" w:type="dxa"/>
            </w:tcMar>
          </w:tcPr>
          <w:p>
            <w:r>
              <w:rPr>
                <w:color w:val="1E232A"/>
                <w:sz w:val="14"/>
              </w:rPr>
              <w:t>Conglomerate</w:t>
            </w:r>
          </w:p>
        </w:tc>
        <w:tc>
          <w:tcPr>
            <w:tcW w:type="dxa" w:w="1434"/>
            <w:shd w:fill="F4F7FB"/>
            <w:tcMar>
              <w:top w:w="25" w:type="dxa"/>
              <w:bottom w:w="25" w:type="dxa"/>
              <w:left w:w="40" w:type="dxa"/>
              <w:right w:w="40" w:type="dxa"/>
            </w:tcMar>
          </w:tcPr>
          <w:p>
            <w:r>
              <w:rPr>
                <w:color w:val="1E232A"/>
                <w:sz w:val="14"/>
              </w:rPr>
              <w:t>0.0%</w:t>
            </w:r>
          </w:p>
        </w:tc>
        <w:tc>
          <w:tcPr>
            <w:tcW w:type="dxa" w:w="1434"/>
            <w:shd w:fill="F4F7FB"/>
            <w:tcMar>
              <w:top w:w="25" w:type="dxa"/>
              <w:bottom w:w="25" w:type="dxa"/>
              <w:left w:w="40" w:type="dxa"/>
              <w:right w:w="40" w:type="dxa"/>
            </w:tcMar>
          </w:tcPr>
          <w:p>
            <w:r>
              <w:rPr>
                <w:color w:val="1E232A"/>
                <w:sz w:val="14"/>
              </w:rPr>
              <w:t>₹2,820.00</w:t>
            </w:r>
          </w:p>
        </w:tc>
        <w:tc>
          <w:tcPr>
            <w:tcW w:type="dxa" w:w="1434"/>
            <w:shd w:fill="F4F7FB"/>
            <w:tcMar>
              <w:top w:w="25" w:type="dxa"/>
              <w:bottom w:w="25" w:type="dxa"/>
              <w:left w:w="40" w:type="dxa"/>
              <w:right w:w="40" w:type="dxa"/>
            </w:tcMar>
          </w:tcPr>
          <w:p>
            <w:r>
              <w:rPr>
                <w:color w:val="1E232A"/>
                <w:sz w:val="14"/>
              </w:rPr>
              <w:t>64 / 100</w:t>
            </w:r>
          </w:p>
        </w:tc>
        <w:tc>
          <w:tcPr>
            <w:tcW w:type="dxa" w:w="1434"/>
            <w:shd w:fill="F4F7FB"/>
            <w:tcMar>
              <w:top w:w="25" w:type="dxa"/>
              <w:bottom w:w="25" w:type="dxa"/>
              <w:left w:w="40" w:type="dxa"/>
              <w:right w:w="40" w:type="dxa"/>
            </w:tcMar>
          </w:tcPr>
          <w:p>
            <w:r>
              <w:rPr>
                <w:color w:val="A02828"/>
                <w:sz w:val="14"/>
              </w:rPr>
              <w:t>UNDERWEIGHT</w:t>
            </w:r>
          </w:p>
        </w:tc>
      </w:tr>
      <w:tr>
        <w:tc>
          <w:tcPr>
            <w:tcW w:type="dxa" w:w="1434"/>
            <w:shd w:fill="FFFFFF"/>
            <w:tcMar>
              <w:top w:w="25" w:type="dxa"/>
              <w:bottom w:w="25" w:type="dxa"/>
              <w:left w:w="40" w:type="dxa"/>
              <w:right w:w="40" w:type="dxa"/>
            </w:tcMar>
          </w:tcPr>
          <w:p>
            <w:r>
              <w:rPr>
                <w:b/>
                <w:color w:val="1E232A"/>
                <w:sz w:val="14"/>
              </w:rPr>
              <w:t>KOTAKBANK</w:t>
            </w:r>
          </w:p>
        </w:tc>
        <w:tc>
          <w:tcPr>
            <w:tcW w:type="dxa" w:w="1434"/>
            <w:shd w:fill="FFFFFF"/>
            <w:tcMar>
              <w:top w:w="25" w:type="dxa"/>
              <w:bottom w:w="25" w:type="dxa"/>
              <w:left w:w="40" w:type="dxa"/>
              <w:right w:w="40" w:type="dxa"/>
            </w:tcMar>
          </w:tcPr>
          <w:p>
            <w:r>
              <w:rPr>
                <w:color w:val="1E232A"/>
                <w:sz w:val="14"/>
              </w:rPr>
              <w:t>Kotak Mahindra Bank</w:t>
            </w:r>
          </w:p>
        </w:tc>
        <w:tc>
          <w:tcPr>
            <w:tcW w:type="dxa" w:w="1434"/>
            <w:shd w:fill="FFFFFF"/>
            <w:tcMar>
              <w:top w:w="25" w:type="dxa"/>
              <w:bottom w:w="25" w:type="dxa"/>
              <w:left w:w="40" w:type="dxa"/>
              <w:right w:w="40" w:type="dxa"/>
            </w:tcMar>
          </w:tcPr>
          <w:p>
            <w:r>
              <w:rPr>
                <w:color w:val="1E232A"/>
                <w:sz w:val="14"/>
              </w:rPr>
              <w:t>Banking</w:t>
            </w:r>
          </w:p>
        </w:tc>
        <w:tc>
          <w:tcPr>
            <w:tcW w:type="dxa" w:w="1434"/>
            <w:shd w:fill="FFFFFF"/>
            <w:tcMar>
              <w:top w:w="25" w:type="dxa"/>
              <w:bottom w:w="25" w:type="dxa"/>
              <w:left w:w="40" w:type="dxa"/>
              <w:right w:w="40" w:type="dxa"/>
            </w:tcMar>
          </w:tcPr>
          <w:p>
            <w:r>
              <w:rPr>
                <w:color w:val="1E232A"/>
                <w:sz w:val="14"/>
              </w:rPr>
              <w:t>0.0%</w:t>
            </w:r>
          </w:p>
        </w:tc>
        <w:tc>
          <w:tcPr>
            <w:tcW w:type="dxa" w:w="1434"/>
            <w:shd w:fill="FFFFFF"/>
            <w:tcMar>
              <w:top w:w="25" w:type="dxa"/>
              <w:bottom w:w="25" w:type="dxa"/>
              <w:left w:w="40" w:type="dxa"/>
              <w:right w:w="40" w:type="dxa"/>
            </w:tcMar>
          </w:tcPr>
          <w:p>
            <w:r>
              <w:rPr>
                <w:color w:val="1E232A"/>
                <w:sz w:val="14"/>
              </w:rPr>
              <w:t>₹1,780.00</w:t>
            </w:r>
          </w:p>
        </w:tc>
        <w:tc>
          <w:tcPr>
            <w:tcW w:type="dxa" w:w="1434"/>
            <w:shd w:fill="FFFFFF"/>
            <w:tcMar>
              <w:top w:w="25" w:type="dxa"/>
              <w:bottom w:w="25" w:type="dxa"/>
              <w:left w:w="40" w:type="dxa"/>
              <w:right w:w="40" w:type="dxa"/>
            </w:tcMar>
          </w:tcPr>
          <w:p>
            <w:r>
              <w:rPr>
                <w:color w:val="1E232A"/>
                <w:sz w:val="14"/>
              </w:rPr>
              <w:t>77 / 100</w:t>
            </w:r>
          </w:p>
        </w:tc>
        <w:tc>
          <w:tcPr>
            <w:tcW w:type="dxa" w:w="1434"/>
            <w:shd w:fill="FFFFFF"/>
            <w:tcMar>
              <w:top w:w="25" w:type="dxa"/>
              <w:bottom w:w="25" w:type="dxa"/>
              <w:left w:w="40" w:type="dxa"/>
              <w:right w:w="40" w:type="dxa"/>
            </w:tcMar>
          </w:tcPr>
          <w:p>
            <w:r>
              <w:rPr>
                <w:color w:val="1E232A"/>
                <w:sz w:val="14"/>
              </w:rPr>
              <w:t>HOLD / NEUTRAL</w:t>
            </w:r>
          </w:p>
        </w:tc>
      </w:tr>
      <w:tr>
        <w:tc>
          <w:tcPr>
            <w:tcW w:type="dxa" w:w="1434"/>
            <w:shd w:fill="F4F7FB"/>
            <w:tcMar>
              <w:top w:w="25" w:type="dxa"/>
              <w:bottom w:w="25" w:type="dxa"/>
              <w:left w:w="40" w:type="dxa"/>
              <w:right w:w="40" w:type="dxa"/>
            </w:tcMar>
          </w:tcPr>
          <w:p>
            <w:r>
              <w:rPr>
                <w:b/>
                <w:color w:val="1E232A"/>
                <w:sz w:val="14"/>
              </w:rPr>
              <w:t>TITAN</w:t>
            </w:r>
          </w:p>
        </w:tc>
        <w:tc>
          <w:tcPr>
            <w:tcW w:type="dxa" w:w="1434"/>
            <w:shd w:fill="F4F7FB"/>
            <w:tcMar>
              <w:top w:w="25" w:type="dxa"/>
              <w:bottom w:w="25" w:type="dxa"/>
              <w:left w:w="40" w:type="dxa"/>
              <w:right w:w="40" w:type="dxa"/>
            </w:tcMar>
          </w:tcPr>
          <w:p>
            <w:r>
              <w:rPr>
                <w:color w:val="1E232A"/>
                <w:sz w:val="14"/>
              </w:rPr>
              <w:t>Titan Company Ltd</w:t>
            </w:r>
          </w:p>
        </w:tc>
        <w:tc>
          <w:tcPr>
            <w:tcW w:type="dxa" w:w="1434"/>
            <w:shd w:fill="F4F7FB"/>
            <w:tcMar>
              <w:top w:w="25" w:type="dxa"/>
              <w:bottom w:w="25" w:type="dxa"/>
              <w:left w:w="40" w:type="dxa"/>
              <w:right w:w="40" w:type="dxa"/>
            </w:tcMar>
          </w:tcPr>
          <w:p>
            <w:r>
              <w:rPr>
                <w:color w:val="1E232A"/>
                <w:sz w:val="14"/>
              </w:rPr>
              <w:t>Consumer Goods</w:t>
            </w:r>
          </w:p>
        </w:tc>
        <w:tc>
          <w:tcPr>
            <w:tcW w:type="dxa" w:w="1434"/>
            <w:shd w:fill="F4F7FB"/>
            <w:tcMar>
              <w:top w:w="25" w:type="dxa"/>
              <w:bottom w:w="25" w:type="dxa"/>
              <w:left w:w="40" w:type="dxa"/>
              <w:right w:w="40" w:type="dxa"/>
            </w:tcMar>
          </w:tcPr>
          <w:p>
            <w:r>
              <w:rPr>
                <w:color w:val="1E232A"/>
                <w:sz w:val="14"/>
              </w:rPr>
              <w:t>0.0%</w:t>
            </w:r>
          </w:p>
        </w:tc>
        <w:tc>
          <w:tcPr>
            <w:tcW w:type="dxa" w:w="1434"/>
            <w:shd w:fill="F4F7FB"/>
            <w:tcMar>
              <w:top w:w="25" w:type="dxa"/>
              <w:bottom w:w="25" w:type="dxa"/>
              <w:left w:w="40" w:type="dxa"/>
              <w:right w:w="40" w:type="dxa"/>
            </w:tcMar>
          </w:tcPr>
          <w:p>
            <w:r>
              <w:rPr>
                <w:color w:val="1E232A"/>
                <w:sz w:val="14"/>
              </w:rPr>
              <w:t>₹3,410.00</w:t>
            </w:r>
          </w:p>
        </w:tc>
        <w:tc>
          <w:tcPr>
            <w:tcW w:type="dxa" w:w="1434"/>
            <w:shd w:fill="F4F7FB"/>
            <w:tcMar>
              <w:top w:w="25" w:type="dxa"/>
              <w:bottom w:w="25" w:type="dxa"/>
              <w:left w:w="40" w:type="dxa"/>
              <w:right w:w="40" w:type="dxa"/>
            </w:tcMar>
          </w:tcPr>
          <w:p>
            <w:r>
              <w:rPr>
                <w:color w:val="1E232A"/>
                <w:sz w:val="14"/>
              </w:rPr>
              <w:t>80 / 100</w:t>
            </w:r>
          </w:p>
        </w:tc>
        <w:tc>
          <w:tcPr>
            <w:tcW w:type="dxa" w:w="1434"/>
            <w:shd w:fill="F4F7FB"/>
            <w:tcMar>
              <w:top w:w="25" w:type="dxa"/>
              <w:bottom w:w="25" w:type="dxa"/>
              <w:left w:w="40" w:type="dxa"/>
              <w:right w:w="40" w:type="dxa"/>
            </w:tcMar>
          </w:tcPr>
          <w:p>
            <w:r>
              <w:rPr>
                <w:color w:val="1E232A"/>
                <w:sz w:val="14"/>
              </w:rPr>
              <w:t>HOLD / NEUTRAL</w:t>
            </w:r>
          </w:p>
        </w:tc>
      </w:tr>
      <w:tr>
        <w:tc>
          <w:tcPr>
            <w:tcW w:type="dxa" w:w="1434"/>
            <w:shd w:fill="FFFFFF"/>
            <w:tcMar>
              <w:top w:w="25" w:type="dxa"/>
              <w:bottom w:w="25" w:type="dxa"/>
              <w:left w:w="40" w:type="dxa"/>
              <w:right w:w="40" w:type="dxa"/>
            </w:tcMar>
          </w:tcPr>
          <w:p>
            <w:r>
              <w:rPr>
                <w:b/>
                <w:color w:val="1E232A"/>
                <w:sz w:val="14"/>
              </w:rPr>
              <w:t>ONGC</w:t>
            </w:r>
          </w:p>
        </w:tc>
        <w:tc>
          <w:tcPr>
            <w:tcW w:type="dxa" w:w="1434"/>
            <w:shd w:fill="FFFFFF"/>
            <w:tcMar>
              <w:top w:w="25" w:type="dxa"/>
              <w:bottom w:w="25" w:type="dxa"/>
              <w:left w:w="40" w:type="dxa"/>
              <w:right w:w="40" w:type="dxa"/>
            </w:tcMar>
          </w:tcPr>
          <w:p>
            <w:r>
              <w:rPr>
                <w:color w:val="1E232A"/>
                <w:sz w:val="14"/>
              </w:rPr>
              <w:t>Oil &amp; Natural Gas Corp</w:t>
            </w:r>
          </w:p>
        </w:tc>
        <w:tc>
          <w:tcPr>
            <w:tcW w:type="dxa" w:w="1434"/>
            <w:shd w:fill="FFFFFF"/>
            <w:tcMar>
              <w:top w:w="25" w:type="dxa"/>
              <w:bottom w:w="25" w:type="dxa"/>
              <w:left w:w="40" w:type="dxa"/>
              <w:right w:w="40" w:type="dxa"/>
            </w:tcMar>
          </w:tcPr>
          <w:p>
            <w:r>
              <w:rPr>
                <w:color w:val="1E232A"/>
                <w:sz w:val="14"/>
              </w:rPr>
              <w:t>Oil &amp; Gas</w:t>
            </w:r>
          </w:p>
        </w:tc>
        <w:tc>
          <w:tcPr>
            <w:tcW w:type="dxa" w:w="1434"/>
            <w:shd w:fill="FFFFFF"/>
            <w:tcMar>
              <w:top w:w="25" w:type="dxa"/>
              <w:bottom w:w="25" w:type="dxa"/>
              <w:left w:w="40" w:type="dxa"/>
              <w:right w:w="40" w:type="dxa"/>
            </w:tcMar>
          </w:tcPr>
          <w:p>
            <w:r>
              <w:rPr>
                <w:color w:val="1E232A"/>
                <w:sz w:val="14"/>
              </w:rPr>
              <w:t>0.0%</w:t>
            </w:r>
          </w:p>
        </w:tc>
        <w:tc>
          <w:tcPr>
            <w:tcW w:type="dxa" w:w="1434"/>
            <w:shd w:fill="FFFFFF"/>
            <w:tcMar>
              <w:top w:w="25" w:type="dxa"/>
              <w:bottom w:w="25" w:type="dxa"/>
              <w:left w:w="40" w:type="dxa"/>
              <w:right w:w="40" w:type="dxa"/>
            </w:tcMar>
          </w:tcPr>
          <w:p>
            <w:r>
              <w:rPr>
                <w:color w:val="1E232A"/>
                <w:sz w:val="14"/>
              </w:rPr>
              <w:t>₹265.40</w:t>
            </w:r>
          </w:p>
        </w:tc>
        <w:tc>
          <w:tcPr>
            <w:tcW w:type="dxa" w:w="1434"/>
            <w:shd w:fill="FFFFFF"/>
            <w:tcMar>
              <w:top w:w="25" w:type="dxa"/>
              <w:bottom w:w="25" w:type="dxa"/>
              <w:left w:w="40" w:type="dxa"/>
              <w:right w:w="40" w:type="dxa"/>
            </w:tcMar>
          </w:tcPr>
          <w:p>
            <w:r>
              <w:rPr>
                <w:color w:val="1E232A"/>
                <w:sz w:val="14"/>
              </w:rPr>
              <w:t>72 / 100</w:t>
            </w:r>
          </w:p>
        </w:tc>
        <w:tc>
          <w:tcPr>
            <w:tcW w:type="dxa" w:w="1434"/>
            <w:shd w:fill="FFFFFF"/>
            <w:tcMar>
              <w:top w:w="25" w:type="dxa"/>
              <w:bottom w:w="25" w:type="dxa"/>
              <w:left w:w="40" w:type="dxa"/>
              <w:right w:w="40" w:type="dxa"/>
            </w:tcMar>
          </w:tcPr>
          <w:p>
            <w:r>
              <w:rPr>
                <w:color w:val="A02828"/>
                <w:sz w:val="14"/>
              </w:rPr>
              <w:t>UNDERWEIGHT</w:t>
            </w:r>
          </w:p>
        </w:tc>
      </w:tr>
      <w:tr>
        <w:tc>
          <w:tcPr>
            <w:tcW w:type="dxa" w:w="1434"/>
            <w:shd w:fill="F4F7FB"/>
            <w:tcMar>
              <w:top w:w="25" w:type="dxa"/>
              <w:bottom w:w="25" w:type="dxa"/>
              <w:left w:w="40" w:type="dxa"/>
              <w:right w:w="40" w:type="dxa"/>
            </w:tcMar>
          </w:tcPr>
          <w:p>
            <w:r>
              <w:rPr>
                <w:b/>
                <w:color w:val="1E232A"/>
                <w:sz w:val="14"/>
              </w:rPr>
              <w:t>TATAMOTORS</w:t>
            </w:r>
          </w:p>
        </w:tc>
        <w:tc>
          <w:tcPr>
            <w:tcW w:type="dxa" w:w="1434"/>
            <w:shd w:fill="F4F7FB"/>
            <w:tcMar>
              <w:top w:w="25" w:type="dxa"/>
              <w:bottom w:w="25" w:type="dxa"/>
              <w:left w:w="40" w:type="dxa"/>
              <w:right w:w="40" w:type="dxa"/>
            </w:tcMar>
          </w:tcPr>
          <w:p>
            <w:r>
              <w:rPr>
                <w:color w:val="1E232A"/>
                <w:sz w:val="14"/>
              </w:rPr>
              <w:t>Tata Motors Ltd</w:t>
            </w:r>
          </w:p>
        </w:tc>
        <w:tc>
          <w:tcPr>
            <w:tcW w:type="dxa" w:w="1434"/>
            <w:shd w:fill="F4F7FB"/>
            <w:tcMar>
              <w:top w:w="25" w:type="dxa"/>
              <w:bottom w:w="25" w:type="dxa"/>
              <w:left w:w="40" w:type="dxa"/>
              <w:right w:w="40" w:type="dxa"/>
            </w:tcMar>
          </w:tcPr>
          <w:p>
            <w:r>
              <w:rPr>
                <w:color w:val="1E232A"/>
                <w:sz w:val="14"/>
              </w:rPr>
              <w:t>Automotive</w:t>
            </w:r>
          </w:p>
        </w:tc>
        <w:tc>
          <w:tcPr>
            <w:tcW w:type="dxa" w:w="1434"/>
            <w:shd w:fill="F4F7FB"/>
            <w:tcMar>
              <w:top w:w="25" w:type="dxa"/>
              <w:bottom w:w="25" w:type="dxa"/>
              <w:left w:w="40" w:type="dxa"/>
              <w:right w:w="40" w:type="dxa"/>
            </w:tcMar>
          </w:tcPr>
          <w:p>
            <w:r>
              <w:rPr>
                <w:color w:val="1E232A"/>
                <w:sz w:val="14"/>
              </w:rPr>
              <w:t>0.0%</w:t>
            </w:r>
          </w:p>
        </w:tc>
        <w:tc>
          <w:tcPr>
            <w:tcW w:type="dxa" w:w="1434"/>
            <w:shd w:fill="F4F7FB"/>
            <w:tcMar>
              <w:top w:w="25" w:type="dxa"/>
              <w:bottom w:w="25" w:type="dxa"/>
              <w:left w:w="40" w:type="dxa"/>
              <w:right w:w="40" w:type="dxa"/>
            </w:tcMar>
          </w:tcPr>
          <w:p>
            <w:r>
              <w:rPr>
                <w:color w:val="1E232A"/>
                <w:sz w:val="14"/>
              </w:rPr>
              <w:t>₹875.20</w:t>
            </w:r>
          </w:p>
        </w:tc>
        <w:tc>
          <w:tcPr>
            <w:tcW w:type="dxa" w:w="1434"/>
            <w:shd w:fill="F4F7FB"/>
            <w:tcMar>
              <w:top w:w="25" w:type="dxa"/>
              <w:bottom w:w="25" w:type="dxa"/>
              <w:left w:w="40" w:type="dxa"/>
              <w:right w:w="40" w:type="dxa"/>
            </w:tcMar>
          </w:tcPr>
          <w:p>
            <w:r>
              <w:rPr>
                <w:color w:val="1E232A"/>
                <w:sz w:val="14"/>
              </w:rPr>
              <w:t>74 / 100</w:t>
            </w:r>
          </w:p>
        </w:tc>
        <w:tc>
          <w:tcPr>
            <w:tcW w:type="dxa" w:w="1434"/>
            <w:shd w:fill="F4F7FB"/>
            <w:tcMar>
              <w:top w:w="25" w:type="dxa"/>
              <w:bottom w:w="25" w:type="dxa"/>
              <w:left w:w="40" w:type="dxa"/>
              <w:right w:w="40" w:type="dxa"/>
            </w:tcMar>
          </w:tcPr>
          <w:p>
            <w:r>
              <w:rPr>
                <w:color w:val="1E232A"/>
                <w:sz w:val="14"/>
              </w:rPr>
              <w:t>HOLD / NEUTRAL</w:t>
            </w:r>
          </w:p>
        </w:tc>
      </w:tr>
      <w:tr>
        <w:tc>
          <w:tcPr>
            <w:tcW w:type="dxa" w:w="1434"/>
            <w:shd w:fill="FFFFFF"/>
            <w:tcMar>
              <w:top w:w="25" w:type="dxa"/>
              <w:bottom w:w="25" w:type="dxa"/>
              <w:left w:w="40" w:type="dxa"/>
              <w:right w:w="40" w:type="dxa"/>
            </w:tcMar>
          </w:tcPr>
          <w:p>
            <w:r>
              <w:rPr>
                <w:b/>
                <w:color w:val="1E232A"/>
                <w:sz w:val="14"/>
              </w:rPr>
              <w:t>NTPC</w:t>
            </w:r>
          </w:p>
        </w:tc>
        <w:tc>
          <w:tcPr>
            <w:tcW w:type="dxa" w:w="1434"/>
            <w:shd w:fill="FFFFFF"/>
            <w:tcMar>
              <w:top w:w="25" w:type="dxa"/>
              <w:bottom w:w="25" w:type="dxa"/>
              <w:left w:w="40" w:type="dxa"/>
              <w:right w:w="40" w:type="dxa"/>
            </w:tcMar>
          </w:tcPr>
          <w:p>
            <w:r>
              <w:rPr>
                <w:color w:val="1E232A"/>
                <w:sz w:val="14"/>
              </w:rPr>
              <w:t>NTPC Ltd</w:t>
            </w:r>
          </w:p>
        </w:tc>
        <w:tc>
          <w:tcPr>
            <w:tcW w:type="dxa" w:w="1434"/>
            <w:shd w:fill="FFFFFF"/>
            <w:tcMar>
              <w:top w:w="25" w:type="dxa"/>
              <w:bottom w:w="25" w:type="dxa"/>
              <w:left w:w="40" w:type="dxa"/>
              <w:right w:w="40" w:type="dxa"/>
            </w:tcMar>
          </w:tcPr>
          <w:p>
            <w:r>
              <w:rPr>
                <w:color w:val="1E232A"/>
                <w:sz w:val="14"/>
              </w:rPr>
              <w:t>Power &amp; Utilities</w:t>
            </w:r>
          </w:p>
        </w:tc>
        <w:tc>
          <w:tcPr>
            <w:tcW w:type="dxa" w:w="1434"/>
            <w:shd w:fill="FFFFFF"/>
            <w:tcMar>
              <w:top w:w="25" w:type="dxa"/>
              <w:bottom w:w="25" w:type="dxa"/>
              <w:left w:w="40" w:type="dxa"/>
              <w:right w:w="40" w:type="dxa"/>
            </w:tcMar>
          </w:tcPr>
          <w:p>
            <w:r>
              <w:rPr>
                <w:color w:val="1E232A"/>
                <w:sz w:val="14"/>
              </w:rPr>
              <w:t>0.0%</w:t>
            </w:r>
          </w:p>
        </w:tc>
        <w:tc>
          <w:tcPr>
            <w:tcW w:type="dxa" w:w="1434"/>
            <w:shd w:fill="FFFFFF"/>
            <w:tcMar>
              <w:top w:w="25" w:type="dxa"/>
              <w:bottom w:w="25" w:type="dxa"/>
              <w:left w:w="40" w:type="dxa"/>
              <w:right w:w="40" w:type="dxa"/>
            </w:tcMar>
          </w:tcPr>
          <w:p>
            <w:r>
              <w:rPr>
                <w:color w:val="1E232A"/>
                <w:sz w:val="14"/>
              </w:rPr>
              <w:t>₹385.60</w:t>
            </w:r>
          </w:p>
        </w:tc>
        <w:tc>
          <w:tcPr>
            <w:tcW w:type="dxa" w:w="1434"/>
            <w:shd w:fill="FFFFFF"/>
            <w:tcMar>
              <w:top w:w="25" w:type="dxa"/>
              <w:bottom w:w="25" w:type="dxa"/>
              <w:left w:w="40" w:type="dxa"/>
              <w:right w:w="40" w:type="dxa"/>
            </w:tcMar>
          </w:tcPr>
          <w:p>
            <w:r>
              <w:rPr>
                <w:color w:val="1E232A"/>
                <w:sz w:val="14"/>
              </w:rPr>
              <w:t>78 / 100</w:t>
            </w:r>
          </w:p>
        </w:tc>
        <w:tc>
          <w:tcPr>
            <w:tcW w:type="dxa" w:w="1434"/>
            <w:shd w:fill="FFFFFF"/>
            <w:tcMar>
              <w:top w:w="25" w:type="dxa"/>
              <w:bottom w:w="25" w:type="dxa"/>
              <w:left w:w="40" w:type="dxa"/>
              <w:right w:w="40" w:type="dxa"/>
            </w:tcMar>
          </w:tcPr>
          <w:p>
            <w:r>
              <w:rPr>
                <w:color w:val="1E232A"/>
                <w:sz w:val="14"/>
              </w:rPr>
              <w:t>HOLD / NEUTRAL</w:t>
            </w:r>
          </w:p>
        </w:tc>
      </w:tr>
      <w:tr>
        <w:tc>
          <w:tcPr>
            <w:tcW w:type="dxa" w:w="1434"/>
            <w:shd w:fill="F4F7FB"/>
            <w:tcMar>
              <w:top w:w="25" w:type="dxa"/>
              <w:bottom w:w="25" w:type="dxa"/>
              <w:left w:w="40" w:type="dxa"/>
              <w:right w:w="40" w:type="dxa"/>
            </w:tcMar>
          </w:tcPr>
          <w:p>
            <w:r>
              <w:rPr>
                <w:b/>
                <w:color w:val="1E232A"/>
                <w:sz w:val="14"/>
              </w:rPr>
              <w:t>AXISBANK</w:t>
            </w:r>
          </w:p>
        </w:tc>
        <w:tc>
          <w:tcPr>
            <w:tcW w:type="dxa" w:w="1434"/>
            <w:shd w:fill="F4F7FB"/>
            <w:tcMar>
              <w:top w:w="25" w:type="dxa"/>
              <w:bottom w:w="25" w:type="dxa"/>
              <w:left w:w="40" w:type="dxa"/>
              <w:right w:w="40" w:type="dxa"/>
            </w:tcMar>
          </w:tcPr>
          <w:p>
            <w:r>
              <w:rPr>
                <w:color w:val="1E232A"/>
                <w:sz w:val="14"/>
              </w:rPr>
              <w:t>Axis Bank Ltd</w:t>
            </w:r>
          </w:p>
        </w:tc>
        <w:tc>
          <w:tcPr>
            <w:tcW w:type="dxa" w:w="1434"/>
            <w:shd w:fill="F4F7FB"/>
            <w:tcMar>
              <w:top w:w="25" w:type="dxa"/>
              <w:bottom w:w="25" w:type="dxa"/>
              <w:left w:w="40" w:type="dxa"/>
              <w:right w:w="40" w:type="dxa"/>
            </w:tcMar>
          </w:tcPr>
          <w:p>
            <w:r>
              <w:rPr>
                <w:color w:val="1E232A"/>
                <w:sz w:val="14"/>
              </w:rPr>
              <w:t>Banking</w:t>
            </w:r>
          </w:p>
        </w:tc>
        <w:tc>
          <w:tcPr>
            <w:tcW w:type="dxa" w:w="1434"/>
            <w:shd w:fill="F4F7FB"/>
            <w:tcMar>
              <w:top w:w="25" w:type="dxa"/>
              <w:bottom w:w="25" w:type="dxa"/>
              <w:left w:w="40" w:type="dxa"/>
              <w:right w:w="40" w:type="dxa"/>
            </w:tcMar>
          </w:tcPr>
          <w:p>
            <w:r>
              <w:rPr>
                <w:color w:val="1E232A"/>
                <w:sz w:val="14"/>
              </w:rPr>
              <w:t>0.0%</w:t>
            </w:r>
          </w:p>
        </w:tc>
        <w:tc>
          <w:tcPr>
            <w:tcW w:type="dxa" w:w="1434"/>
            <w:shd w:fill="F4F7FB"/>
            <w:tcMar>
              <w:top w:w="25" w:type="dxa"/>
              <w:bottom w:w="25" w:type="dxa"/>
              <w:left w:w="40" w:type="dxa"/>
              <w:right w:w="40" w:type="dxa"/>
            </w:tcMar>
          </w:tcPr>
          <w:p>
            <w:r>
              <w:rPr>
                <w:color w:val="1E232A"/>
                <w:sz w:val="14"/>
              </w:rPr>
              <w:t>₹1,145.00</w:t>
            </w:r>
          </w:p>
        </w:tc>
        <w:tc>
          <w:tcPr>
            <w:tcW w:type="dxa" w:w="1434"/>
            <w:shd w:fill="F4F7FB"/>
            <w:tcMar>
              <w:top w:w="25" w:type="dxa"/>
              <w:bottom w:w="25" w:type="dxa"/>
              <w:left w:w="40" w:type="dxa"/>
              <w:right w:w="40" w:type="dxa"/>
            </w:tcMar>
          </w:tcPr>
          <w:p>
            <w:r>
              <w:rPr>
                <w:color w:val="1E232A"/>
                <w:sz w:val="14"/>
              </w:rPr>
              <w:t>76 / 100</w:t>
            </w:r>
          </w:p>
        </w:tc>
        <w:tc>
          <w:tcPr>
            <w:tcW w:type="dxa" w:w="1434"/>
            <w:shd w:fill="F4F7FB"/>
            <w:tcMar>
              <w:top w:w="25" w:type="dxa"/>
              <w:bottom w:w="25" w:type="dxa"/>
              <w:left w:w="40" w:type="dxa"/>
              <w:right w:w="40" w:type="dxa"/>
            </w:tcMar>
          </w:tcPr>
          <w:p>
            <w:r>
              <w:rPr>
                <w:color w:val="1E232A"/>
                <w:sz w:val="14"/>
              </w:rPr>
              <w:t>HOLD / NEUTRAL</w:t>
            </w:r>
          </w:p>
        </w:tc>
      </w:tr>
      <w:tr>
        <w:tc>
          <w:tcPr>
            <w:tcW w:type="dxa" w:w="1434"/>
            <w:shd w:fill="FFFFFF"/>
            <w:tcMar>
              <w:top w:w="25" w:type="dxa"/>
              <w:bottom w:w="25" w:type="dxa"/>
              <w:left w:w="40" w:type="dxa"/>
              <w:right w:w="40" w:type="dxa"/>
            </w:tcMar>
          </w:tcPr>
          <w:p>
            <w:r>
              <w:rPr>
                <w:b/>
                <w:color w:val="1E232A"/>
                <w:sz w:val="14"/>
              </w:rPr>
              <w:t>POWERGRID</w:t>
            </w:r>
          </w:p>
        </w:tc>
        <w:tc>
          <w:tcPr>
            <w:tcW w:type="dxa" w:w="1434"/>
            <w:shd w:fill="FFFFFF"/>
            <w:tcMar>
              <w:top w:w="25" w:type="dxa"/>
              <w:bottom w:w="25" w:type="dxa"/>
              <w:left w:w="40" w:type="dxa"/>
              <w:right w:w="40" w:type="dxa"/>
            </w:tcMar>
          </w:tcPr>
          <w:p>
            <w:r>
              <w:rPr>
                <w:color w:val="1E232A"/>
                <w:sz w:val="14"/>
              </w:rPr>
              <w:t>Power Grid Corp</w:t>
            </w:r>
          </w:p>
        </w:tc>
        <w:tc>
          <w:tcPr>
            <w:tcW w:type="dxa" w:w="1434"/>
            <w:shd w:fill="FFFFFF"/>
            <w:tcMar>
              <w:top w:w="25" w:type="dxa"/>
              <w:bottom w:w="25" w:type="dxa"/>
              <w:left w:w="40" w:type="dxa"/>
              <w:right w:w="40" w:type="dxa"/>
            </w:tcMar>
          </w:tcPr>
          <w:p>
            <w:r>
              <w:rPr>
                <w:color w:val="1E232A"/>
                <w:sz w:val="14"/>
              </w:rPr>
              <w:t>Utilities</w:t>
            </w:r>
          </w:p>
        </w:tc>
        <w:tc>
          <w:tcPr>
            <w:tcW w:type="dxa" w:w="1434"/>
            <w:shd w:fill="FFFFFF"/>
            <w:tcMar>
              <w:top w:w="25" w:type="dxa"/>
              <w:bottom w:w="25" w:type="dxa"/>
              <w:left w:w="40" w:type="dxa"/>
              <w:right w:w="40" w:type="dxa"/>
            </w:tcMar>
          </w:tcPr>
          <w:p>
            <w:r>
              <w:rPr>
                <w:color w:val="1E232A"/>
                <w:sz w:val="14"/>
              </w:rPr>
              <w:t>0.0%</w:t>
            </w:r>
          </w:p>
        </w:tc>
        <w:tc>
          <w:tcPr>
            <w:tcW w:type="dxa" w:w="1434"/>
            <w:shd w:fill="FFFFFF"/>
            <w:tcMar>
              <w:top w:w="25" w:type="dxa"/>
              <w:bottom w:w="25" w:type="dxa"/>
              <w:left w:w="40" w:type="dxa"/>
              <w:right w:w="40" w:type="dxa"/>
            </w:tcMar>
          </w:tcPr>
          <w:p>
            <w:r>
              <w:rPr>
                <w:color w:val="1E232A"/>
                <w:sz w:val="14"/>
              </w:rPr>
              <w:t>₹312.00</w:t>
            </w:r>
          </w:p>
        </w:tc>
        <w:tc>
          <w:tcPr>
            <w:tcW w:type="dxa" w:w="1434"/>
            <w:shd w:fill="FFFFFF"/>
            <w:tcMar>
              <w:top w:w="25" w:type="dxa"/>
              <w:bottom w:w="25" w:type="dxa"/>
              <w:left w:w="40" w:type="dxa"/>
              <w:right w:w="40" w:type="dxa"/>
            </w:tcMar>
          </w:tcPr>
          <w:p>
            <w:r>
              <w:rPr>
                <w:color w:val="1E232A"/>
                <w:sz w:val="14"/>
              </w:rPr>
              <w:t>79 / 100</w:t>
            </w:r>
          </w:p>
        </w:tc>
        <w:tc>
          <w:tcPr>
            <w:tcW w:type="dxa" w:w="1434"/>
            <w:shd w:fill="FFFFFF"/>
            <w:tcMar>
              <w:top w:w="25" w:type="dxa"/>
              <w:bottom w:w="25" w:type="dxa"/>
              <w:left w:w="40" w:type="dxa"/>
              <w:right w:w="40" w:type="dxa"/>
            </w:tcMar>
          </w:tcPr>
          <w:p>
            <w:r>
              <w:rPr>
                <w:color w:val="1E232A"/>
                <w:sz w:val="14"/>
              </w:rPr>
              <w:t>HOLD / NEUTRAL</w:t>
            </w:r>
          </w:p>
        </w:tc>
      </w:tr>
      <w:tr>
        <w:tc>
          <w:tcPr>
            <w:tcW w:type="dxa" w:w="1434"/>
            <w:shd w:fill="F4F7FB"/>
            <w:tcMar>
              <w:top w:w="25" w:type="dxa"/>
              <w:bottom w:w="25" w:type="dxa"/>
              <w:left w:w="40" w:type="dxa"/>
              <w:right w:w="40" w:type="dxa"/>
            </w:tcMar>
          </w:tcPr>
          <w:p>
            <w:r>
              <w:rPr>
                <w:b/>
                <w:color w:val="1E232A"/>
                <w:sz w:val="14"/>
              </w:rPr>
              <w:t>ASIANPAINT</w:t>
            </w:r>
          </w:p>
        </w:tc>
        <w:tc>
          <w:tcPr>
            <w:tcW w:type="dxa" w:w="1434"/>
            <w:shd w:fill="F4F7FB"/>
            <w:tcMar>
              <w:top w:w="25" w:type="dxa"/>
              <w:bottom w:w="25" w:type="dxa"/>
              <w:left w:w="40" w:type="dxa"/>
              <w:right w:w="40" w:type="dxa"/>
            </w:tcMar>
          </w:tcPr>
          <w:p>
            <w:r>
              <w:rPr>
                <w:color w:val="1E232A"/>
                <w:sz w:val="14"/>
              </w:rPr>
              <w:t>Asian Paints Ltd</w:t>
            </w:r>
          </w:p>
        </w:tc>
        <w:tc>
          <w:tcPr>
            <w:tcW w:type="dxa" w:w="1434"/>
            <w:shd w:fill="F4F7FB"/>
            <w:tcMar>
              <w:top w:w="25" w:type="dxa"/>
              <w:bottom w:w="25" w:type="dxa"/>
              <w:left w:w="40" w:type="dxa"/>
              <w:right w:w="40" w:type="dxa"/>
            </w:tcMar>
          </w:tcPr>
          <w:p>
            <w:r>
              <w:rPr>
                <w:color w:val="1E232A"/>
                <w:sz w:val="14"/>
              </w:rPr>
              <w:t>Consumer Goods</w:t>
            </w:r>
          </w:p>
        </w:tc>
        <w:tc>
          <w:tcPr>
            <w:tcW w:type="dxa" w:w="1434"/>
            <w:shd w:fill="F4F7FB"/>
            <w:tcMar>
              <w:top w:w="25" w:type="dxa"/>
              <w:bottom w:w="25" w:type="dxa"/>
              <w:left w:w="40" w:type="dxa"/>
              <w:right w:w="40" w:type="dxa"/>
            </w:tcMar>
          </w:tcPr>
          <w:p>
            <w:r>
              <w:rPr>
                <w:color w:val="1E232A"/>
                <w:sz w:val="14"/>
              </w:rPr>
              <w:t>0.0%</w:t>
            </w:r>
          </w:p>
        </w:tc>
        <w:tc>
          <w:tcPr>
            <w:tcW w:type="dxa" w:w="1434"/>
            <w:shd w:fill="F4F7FB"/>
            <w:tcMar>
              <w:top w:w="25" w:type="dxa"/>
              <w:bottom w:w="25" w:type="dxa"/>
              <w:left w:w="40" w:type="dxa"/>
              <w:right w:w="40" w:type="dxa"/>
            </w:tcMar>
          </w:tcPr>
          <w:p>
            <w:r>
              <w:rPr>
                <w:color w:val="1E232A"/>
                <w:sz w:val="14"/>
              </w:rPr>
              <w:t>₹2,450.00</w:t>
            </w:r>
          </w:p>
        </w:tc>
        <w:tc>
          <w:tcPr>
            <w:tcW w:type="dxa" w:w="1434"/>
            <w:shd w:fill="F4F7FB"/>
            <w:tcMar>
              <w:top w:w="25" w:type="dxa"/>
              <w:bottom w:w="25" w:type="dxa"/>
              <w:left w:w="40" w:type="dxa"/>
              <w:right w:w="40" w:type="dxa"/>
            </w:tcMar>
          </w:tcPr>
          <w:p>
            <w:r>
              <w:rPr>
                <w:color w:val="1E232A"/>
                <w:sz w:val="14"/>
              </w:rPr>
              <w:t>68 / 100</w:t>
            </w:r>
          </w:p>
        </w:tc>
        <w:tc>
          <w:tcPr>
            <w:tcW w:type="dxa" w:w="1434"/>
            <w:shd w:fill="F4F7FB"/>
            <w:tcMar>
              <w:top w:w="25" w:type="dxa"/>
              <w:bottom w:w="25" w:type="dxa"/>
              <w:left w:w="40" w:type="dxa"/>
              <w:right w:w="40" w:type="dxa"/>
            </w:tcMar>
          </w:tcPr>
          <w:p>
            <w:r>
              <w:rPr>
                <w:color w:val="A02828"/>
                <w:sz w:val="14"/>
              </w:rPr>
              <w:t>UNDERWEIGHT</w:t>
            </w:r>
          </w:p>
        </w:tc>
      </w:tr>
      <w:tr>
        <w:tc>
          <w:tcPr>
            <w:tcW w:type="dxa" w:w="1434"/>
            <w:shd w:fill="FFFFFF"/>
            <w:tcMar>
              <w:top w:w="25" w:type="dxa"/>
              <w:bottom w:w="25" w:type="dxa"/>
              <w:left w:w="40" w:type="dxa"/>
              <w:right w:w="40" w:type="dxa"/>
            </w:tcMar>
          </w:tcPr>
          <w:p>
            <w:r>
              <w:rPr>
                <w:b/>
                <w:color w:val="1E232A"/>
                <w:sz w:val="14"/>
              </w:rPr>
              <w:t>WIPRO</w:t>
            </w:r>
          </w:p>
        </w:tc>
        <w:tc>
          <w:tcPr>
            <w:tcW w:type="dxa" w:w="1434"/>
            <w:shd w:fill="FFFFFF"/>
            <w:tcMar>
              <w:top w:w="25" w:type="dxa"/>
              <w:bottom w:w="25" w:type="dxa"/>
              <w:left w:w="40" w:type="dxa"/>
              <w:right w:w="40" w:type="dxa"/>
            </w:tcMar>
          </w:tcPr>
          <w:p>
            <w:r>
              <w:rPr>
                <w:color w:val="1E232A"/>
                <w:sz w:val="14"/>
              </w:rPr>
              <w:t>Wipro Ltd</w:t>
            </w:r>
          </w:p>
        </w:tc>
        <w:tc>
          <w:tcPr>
            <w:tcW w:type="dxa" w:w="1434"/>
            <w:shd w:fill="FFFFFF"/>
            <w:tcMar>
              <w:top w:w="25" w:type="dxa"/>
              <w:bottom w:w="25" w:type="dxa"/>
              <w:left w:w="40" w:type="dxa"/>
              <w:right w:w="40" w:type="dxa"/>
            </w:tcMar>
          </w:tcPr>
          <w:p>
            <w:r>
              <w:rPr>
                <w:color w:val="1E232A"/>
                <w:sz w:val="14"/>
              </w:rPr>
              <w:t>IT Services</w:t>
            </w:r>
          </w:p>
        </w:tc>
        <w:tc>
          <w:tcPr>
            <w:tcW w:type="dxa" w:w="1434"/>
            <w:shd w:fill="FFFFFF"/>
            <w:tcMar>
              <w:top w:w="25" w:type="dxa"/>
              <w:bottom w:w="25" w:type="dxa"/>
              <w:left w:w="40" w:type="dxa"/>
              <w:right w:w="40" w:type="dxa"/>
            </w:tcMar>
          </w:tcPr>
          <w:p>
            <w:r>
              <w:rPr>
                <w:color w:val="1E232A"/>
                <w:sz w:val="14"/>
              </w:rPr>
              <w:t>0.0%</w:t>
            </w:r>
          </w:p>
        </w:tc>
        <w:tc>
          <w:tcPr>
            <w:tcW w:type="dxa" w:w="1434"/>
            <w:shd w:fill="FFFFFF"/>
            <w:tcMar>
              <w:top w:w="25" w:type="dxa"/>
              <w:bottom w:w="25" w:type="dxa"/>
              <w:left w:w="40" w:type="dxa"/>
              <w:right w:w="40" w:type="dxa"/>
            </w:tcMar>
          </w:tcPr>
          <w:p>
            <w:r>
              <w:rPr>
                <w:color w:val="1E232A"/>
                <w:sz w:val="14"/>
              </w:rPr>
              <w:t>₹535.40</w:t>
            </w:r>
          </w:p>
        </w:tc>
        <w:tc>
          <w:tcPr>
            <w:tcW w:type="dxa" w:w="1434"/>
            <w:shd w:fill="FFFFFF"/>
            <w:tcMar>
              <w:top w:w="25" w:type="dxa"/>
              <w:bottom w:w="25" w:type="dxa"/>
              <w:left w:w="40" w:type="dxa"/>
              <w:right w:w="40" w:type="dxa"/>
            </w:tcMar>
          </w:tcPr>
          <w:p>
            <w:r>
              <w:rPr>
                <w:color w:val="1E232A"/>
                <w:sz w:val="14"/>
              </w:rPr>
              <w:t>71 / 100</w:t>
            </w:r>
          </w:p>
        </w:tc>
        <w:tc>
          <w:tcPr>
            <w:tcW w:type="dxa" w:w="1434"/>
            <w:shd w:fill="FFFFFF"/>
            <w:tcMar>
              <w:top w:w="25" w:type="dxa"/>
              <w:bottom w:w="25" w:type="dxa"/>
              <w:left w:w="40" w:type="dxa"/>
              <w:right w:w="40" w:type="dxa"/>
            </w:tcMar>
          </w:tcPr>
          <w:p>
            <w:r>
              <w:rPr>
                <w:color w:val="A02828"/>
                <w:sz w:val="14"/>
              </w:rPr>
              <w:t>UNDERWEIGHT</w:t>
            </w:r>
          </w:p>
        </w:tc>
      </w:tr>
    </w:tbl>
    <w:sectPr w:rsidR="00FC693F" w:rsidRPr="0006063C" w:rsidSect="00034616">
      <w:headerReference w:type="default" r:id="rId9"/>
      <w:footerReference w:type="default" r:id="rId10"/>
      <w:pgSz w:w="11909" w:h="16834"/>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6E78"/>
        <w:sz w:val="17"/>
      </w:rPr>
      <w:t>Department of Artificial Intelligence, Amrita Vishwa Vidyapeetham, Coimbatore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646E78"/>
        <w:sz w:val="17"/>
      </w:rPr>
      <w:t>SparsioQ: Project Report · 24MAT204 · Mathematics for Intelligent Systems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3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