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line="360" w:lineRule="auto"/>
        <w:jc w:val="center"/>
      </w:pPr>
      <w:r>
        <w:rPr>
          <w:rFonts w:ascii="Times New Roman" w:hAnsi="Times New Roman"/>
          <w:b/>
          <w:i w:val="0"/>
          <w:sz w:val="28"/>
        </w:rPr>
        <w:t>SPARSIOQ: AN END-TO-END SPARSE CONVEX OPTIMIZATION, QUANTUM-ACCELERATED RISK ESTIMATION, AND REGIME-SWITCHING SYSTEM FOR QUANTITATIVE WEALTH MANAGEMENT</w:t>
      </w:r>
    </w:p>
    <w:p>
      <w:pPr>
        <w:spacing w:after="120" w:line="360" w:lineRule="auto"/>
        <w:jc w:val="center"/>
      </w:pPr>
      <w:r>
        <w:rPr>
          <w:rFonts w:ascii="Times New Roman" w:hAnsi="Times New Roman"/>
          <w:b/>
          <w:i w:val="0"/>
          <w:sz w:val="24"/>
        </w:rPr>
        <w:t>A PROJECT REPORT</w:t>
      </w:r>
    </w:p>
    <w:p>
      <w:pPr>
        <w:spacing w:after="160" w:line="360" w:lineRule="auto"/>
        <w:jc w:val="center"/>
      </w:pPr>
      <w:r>
        <w:rPr>
          <w:rFonts w:ascii="Times New Roman" w:hAnsi="Times New Roman"/>
          <w:b w:val="0"/>
          <w:i/>
          <w:sz w:val="20"/>
        </w:rPr>
        <w:t>Submitted by</w:t>
      </w:r>
    </w:p>
    <w:tbl>
      <w:tblPr>
        <w:tblW w:type="auto" w:w="0"/>
        <w:jc w:val="center"/>
        <w:tblLook w:firstColumn="1" w:firstRow="1" w:lastColumn="0" w:lastRow="0" w:noHBand="0" w:noVBand="1" w:val="04A0"/>
      </w:tblPr>
      <w:tblGrid>
        <w:gridCol w:w="4140"/>
        <w:gridCol w:w="4140"/>
      </w:tblGrid>
      <w:tr>
        <w:tc>
          <w:tcPr>
            <w:tcW w:type="dxa" w:w="4140"/>
          </w:tcPr>
          <w:p>
            <w:pPr>
              <w:jc w:val="center"/>
            </w:pPr>
            <w:r>
              <w:rPr>
                <w:rFonts w:ascii="Times New Roman" w:hAnsi="Times New Roman"/>
                <w:b/>
                <w:sz w:val="20"/>
              </w:rPr>
              <w:t>REGISTER NUMBER</w:t>
            </w:r>
          </w:p>
        </w:tc>
        <w:tc>
          <w:tcPr>
            <w:tcW w:type="dxa" w:w="4140"/>
          </w:tcPr>
          <w:p>
            <w:pPr>
              <w:jc w:val="center"/>
            </w:pPr>
            <w:r>
              <w:rPr>
                <w:rFonts w:ascii="Times New Roman" w:hAnsi="Times New Roman"/>
                <w:b/>
                <w:sz w:val="20"/>
              </w:rPr>
              <w:t>NAME OF CANDIDATE</w:t>
            </w:r>
          </w:p>
        </w:tc>
      </w:tr>
      <w:tr>
        <w:tc>
          <w:tcPr>
            <w:tcW w:type="dxa" w:w="4140"/>
          </w:tcPr>
          <w:p>
            <w:pPr>
              <w:jc w:val="center"/>
            </w:pPr>
            <w:r>
              <w:rPr>
                <w:rFonts w:ascii="Times New Roman" w:hAnsi="Times New Roman"/>
                <w:sz w:val="20"/>
              </w:rPr>
              <w:t>CB.AI.U4AIM25052</w:t>
            </w:r>
          </w:p>
        </w:tc>
        <w:tc>
          <w:tcPr>
            <w:tcW w:type="dxa" w:w="4140"/>
          </w:tcPr>
          <w:p>
            <w:pPr>
              <w:jc w:val="center"/>
            </w:pPr>
            <w:r>
              <w:rPr>
                <w:rFonts w:ascii="Times New Roman" w:hAnsi="Times New Roman"/>
                <w:sz w:val="20"/>
              </w:rPr>
              <w:t>MHALSA PADMAKUMAR</w:t>
            </w:r>
          </w:p>
        </w:tc>
      </w:tr>
      <w:tr>
        <w:tc>
          <w:tcPr>
            <w:tcW w:type="dxa" w:w="4140"/>
          </w:tcPr>
          <w:p>
            <w:pPr>
              <w:jc w:val="center"/>
            </w:pPr>
            <w:r>
              <w:rPr>
                <w:rFonts w:ascii="Times New Roman" w:hAnsi="Times New Roman"/>
                <w:sz w:val="20"/>
              </w:rPr>
              <w:t>CB.AI.U4AIM25037</w:t>
            </w:r>
          </w:p>
        </w:tc>
        <w:tc>
          <w:tcPr>
            <w:tcW w:type="dxa" w:w="4140"/>
          </w:tcPr>
          <w:p>
            <w:pPr>
              <w:jc w:val="center"/>
            </w:pPr>
            <w:r>
              <w:rPr>
                <w:rFonts w:ascii="Times New Roman" w:hAnsi="Times New Roman"/>
                <w:sz w:val="20"/>
              </w:rPr>
              <w:t>SHIZA CKV</w:t>
            </w:r>
          </w:p>
        </w:tc>
      </w:tr>
      <w:tr>
        <w:tc>
          <w:tcPr>
            <w:tcW w:type="dxa" w:w="4140"/>
          </w:tcPr>
          <w:p>
            <w:pPr>
              <w:jc w:val="center"/>
            </w:pPr>
            <w:r>
              <w:rPr>
                <w:rFonts w:ascii="Times New Roman" w:hAnsi="Times New Roman"/>
                <w:sz w:val="20"/>
              </w:rPr>
              <w:t>CB.AI.U4AIM25044</w:t>
            </w:r>
          </w:p>
        </w:tc>
        <w:tc>
          <w:tcPr>
            <w:tcW w:type="dxa" w:w="4140"/>
          </w:tcPr>
          <w:p>
            <w:pPr>
              <w:jc w:val="center"/>
            </w:pPr>
            <w:r>
              <w:rPr>
                <w:rFonts w:ascii="Times New Roman" w:hAnsi="Times New Roman"/>
                <w:sz w:val="20"/>
              </w:rPr>
              <w:t>ANWAIKA SANVI</w:t>
            </w:r>
          </w:p>
        </w:tc>
      </w:tr>
      <w:tr>
        <w:tc>
          <w:tcPr>
            <w:tcW w:type="dxa" w:w="4140"/>
          </w:tcPr>
          <w:p>
            <w:pPr>
              <w:jc w:val="center"/>
            </w:pPr>
            <w:r>
              <w:rPr>
                <w:rFonts w:ascii="Times New Roman" w:hAnsi="Times New Roman"/>
                <w:sz w:val="20"/>
              </w:rPr>
              <w:t>CB.AI.U4AIM25014</w:t>
            </w:r>
          </w:p>
        </w:tc>
        <w:tc>
          <w:tcPr>
            <w:tcW w:type="dxa" w:w="4140"/>
          </w:tcPr>
          <w:p>
            <w:pPr>
              <w:jc w:val="center"/>
            </w:pPr>
            <w:r>
              <w:rPr>
                <w:rFonts w:ascii="Times New Roman" w:hAnsi="Times New Roman"/>
                <w:sz w:val="20"/>
              </w:rPr>
              <w:t>JOSHIKA</w:t>
            </w:r>
          </w:p>
        </w:tc>
      </w:tr>
    </w:tbl>
    <w:p>
      <w:pPr>
        <w:spacing w:after="200" w:line="360" w:lineRule="auto"/>
        <w:jc w:val="both"/>
      </w:pPr>
      <w:r>
        <w:rPr>
          <w:rFonts w:ascii="Times New Roman" w:hAnsi="Times New Roman"/>
          <w:b w:val="0"/>
          <w:i w:val="0"/>
          <w:sz w:val="22"/>
        </w:rPr>
      </w:r>
    </w:p>
    <w:p>
      <w:pPr>
        <w:spacing w:after="80" w:line="360" w:lineRule="auto"/>
        <w:jc w:val="center"/>
      </w:pPr>
      <w:r>
        <w:rPr>
          <w:rFonts w:ascii="Times New Roman" w:hAnsi="Times New Roman"/>
          <w:b w:val="0"/>
          <w:i/>
          <w:sz w:val="20"/>
        </w:rPr>
        <w:t>in partial fulfillment for the award of the degree of</w:t>
      </w:r>
    </w:p>
    <w:p>
      <w:pPr>
        <w:spacing w:after="280" w:line="360" w:lineRule="auto"/>
        <w:jc w:val="center"/>
      </w:pPr>
      <w:r>
        <w:rPr>
          <w:rFonts w:ascii="Times New Roman" w:hAnsi="Times New Roman"/>
          <w:b/>
          <w:i w:val="0"/>
          <w:sz w:val="22"/>
        </w:rPr>
        <w:t>BACHELOR OF TECHNOLOGY</w:t>
        <w:br/>
        <w:t>IN</w:t>
        <w:br/>
        <w:t>ARTIFICIAL INTELLIGENCE AND DATA SCIENCE</w:t>
      </w:r>
    </w:p>
    <w:p>
      <w:pPr>
        <w:jc w:val="center"/>
      </w:pPr>
      <w:r>
        <w:drawing>
          <wp:inline xmlns:a="http://schemas.openxmlformats.org/drawingml/2006/main" xmlns:pic="http://schemas.openxmlformats.org/drawingml/2006/picture">
            <wp:extent cx="2011680" cy="445949"/>
            <wp:docPr id="1" name="Picture 1"/>
            <wp:cNvGraphicFramePr>
              <a:graphicFrameLocks noChangeAspect="1"/>
            </wp:cNvGraphicFramePr>
            <a:graphic>
              <a:graphicData uri="http://schemas.openxmlformats.org/drawingml/2006/picture">
                <pic:pic>
                  <pic:nvPicPr>
                    <pic:cNvPr id="0" name="amrita_logo_official.png"/>
                    <pic:cNvPicPr/>
                  </pic:nvPicPr>
                  <pic:blipFill>
                    <a:blip r:embed="rId10"/>
                    <a:stretch>
                      <a:fillRect/>
                    </a:stretch>
                  </pic:blipFill>
                  <pic:spPr>
                    <a:xfrm>
                      <a:off x="0" y="0"/>
                      <a:ext cx="2011680" cy="445949"/>
                    </a:xfrm>
                    <a:prstGeom prst="rect"/>
                  </pic:spPr>
                </pic:pic>
              </a:graphicData>
            </a:graphic>
          </wp:inline>
        </w:drawing>
      </w:r>
    </w:p>
    <w:p>
      <w:pPr>
        <w:spacing w:after="160" w:line="360" w:lineRule="auto"/>
        <w:jc w:val="center"/>
      </w:pPr>
      <w:r>
        <w:rPr>
          <w:rFonts w:ascii="Times New Roman" w:hAnsi="Times New Roman"/>
          <w:b/>
          <w:i w:val="0"/>
          <w:sz w:val="20"/>
        </w:rPr>
        <w:t>DEPARTMENT OF ARTIFICIAL INTELLIGENCE</w:t>
        <w:br/>
        <w:t>SCHOOL OF ARTIFICIAL INTELLIGENCE</w:t>
        <w:br/>
        <w:t>AMRITA VISHWA VIDYAPEETHAM</w:t>
        <w:br/>
        <w:t>AMRITANAGAR, COIMBATORE - 641112</w:t>
      </w:r>
    </w:p>
    <w:p>
      <w:pPr>
        <w:spacing w:after="0" w:line="360" w:lineRule="auto"/>
        <w:jc w:val="center"/>
      </w:pPr>
      <w:r>
        <w:rPr>
          <w:rFonts w:ascii="Times New Roman" w:hAnsi="Times New Roman"/>
          <w:b/>
          <w:i w:val="0"/>
          <w:sz w:val="22"/>
        </w:rPr>
        <w:t>OCTOBER 2026</w:t>
      </w:r>
    </w:p>
    <w:p>
      <w:r>
        <w:br w:type="page"/>
      </w:r>
    </w:p>
    <w:p>
      <w:pPr>
        <w:spacing w:after="40" w:line="360" w:lineRule="auto"/>
        <w:jc w:val="center"/>
      </w:pPr>
      <w:r>
        <w:rPr>
          <w:rFonts w:ascii="Times New Roman" w:hAnsi="Times New Roman"/>
          <w:b/>
          <w:i w:val="0"/>
          <w:sz w:val="24"/>
        </w:rPr>
        <w:t>AMRITA VISHWA VIDYAPEETHAM</w:t>
      </w:r>
    </w:p>
    <w:p>
      <w:pPr>
        <w:spacing w:after="160" w:line="360" w:lineRule="auto"/>
        <w:jc w:val="center"/>
      </w:pPr>
      <w:r>
        <w:rPr>
          <w:rFonts w:ascii="Times New Roman" w:hAnsi="Times New Roman"/>
          <w:b/>
          <w:i w:val="0"/>
          <w:sz w:val="20"/>
        </w:rPr>
        <w:t>SCHOOL OF ARTIFICIAL INTELLIGENCE, COIMBATORE - 641112</w:t>
      </w:r>
    </w:p>
    <w:p>
      <w:pPr>
        <w:jc w:val="center"/>
      </w:pPr>
      <w:r>
        <w:drawing>
          <wp:inline xmlns:a="http://schemas.openxmlformats.org/drawingml/2006/main" xmlns:pic="http://schemas.openxmlformats.org/drawingml/2006/picture">
            <wp:extent cx="1371600" cy="304056"/>
            <wp:docPr id="2" name="Picture 2"/>
            <wp:cNvGraphicFramePr>
              <a:graphicFrameLocks noChangeAspect="1"/>
            </wp:cNvGraphicFramePr>
            <a:graphic>
              <a:graphicData uri="http://schemas.openxmlformats.org/drawingml/2006/picture">
                <pic:pic>
                  <pic:nvPicPr>
                    <pic:cNvPr id="0" name="amrita_logo_official.png"/>
                    <pic:cNvPicPr/>
                  </pic:nvPicPr>
                  <pic:blipFill>
                    <a:blip r:embed="rId10"/>
                    <a:stretch>
                      <a:fillRect/>
                    </a:stretch>
                  </pic:blipFill>
                  <pic:spPr>
                    <a:xfrm>
                      <a:off x="0" y="0"/>
                      <a:ext cx="1371600" cy="304056"/>
                    </a:xfrm>
                    <a:prstGeom prst="rect"/>
                  </pic:spPr>
                </pic:pic>
              </a:graphicData>
            </a:graphic>
          </wp:inline>
        </w:drawing>
      </w:r>
    </w:p>
    <w:p>
      <w:pPr>
        <w:spacing w:after="240" w:line="360" w:lineRule="auto"/>
        <w:jc w:val="center"/>
      </w:pPr>
      <w:r>
        <w:rPr>
          <w:rFonts w:ascii="Times New Roman" w:hAnsi="Times New Roman"/>
          <w:b/>
          <w:i w:val="0"/>
          <w:sz w:val="26"/>
        </w:rPr>
        <w:t>BONAFIDE CERTIFICATE</w:t>
      </w:r>
    </w:p>
    <w:p>
      <w:pPr>
        <w:spacing w:after="360" w:line="360" w:lineRule="auto"/>
        <w:jc w:val="both"/>
      </w:pPr>
      <w:r>
        <w:rPr>
          <w:rFonts w:ascii="Times New Roman" w:hAnsi="Times New Roman"/>
          <w:b w:val="0"/>
          <w:i w:val="0"/>
          <w:sz w:val="22"/>
        </w:rPr>
        <w:t>This is to certify that the project report entitled "SPARSIOQ: AN END-TO-END SPARSE CONVEX OPTIMIZATION, QUANTUM-ACCELERATED RISK ESTIMATION, AND REGIME-SWITCHING SYSTEM FOR QUANTITATIVE WEALTH MANAGEMENT" submitted by MHALSA PADMAKUMAR (CB.AI.U4AIM25052), SHIZA CKV (CB.AI.U4AIM25037), ANWAIKA SANVI (CB.AI.U4AIM25044), and JOSHIKA (CB.AI.U4AIM25014) in partial fulfillment of the requirements for the award of the Degree of Bachelor of Technology in Artificial Intelligence and Data Science for the course 24MAT204 / 23MAT204 - Mathematics for Intelligent Systems 3 is a bonafide record of the work carried out under my guidance and supervision at the Department of Artificial Intelligence, School of Artificial Intelligence, Amrita Vishwa Vidyapeetham, Amritanagar, Coimbatore - 641112.</w:t>
      </w:r>
    </w:p>
    <w:tbl>
      <w:tblPr>
        <w:tblW w:type="auto" w:w="0"/>
        <w:jc w:val="center"/>
        <w:tblLook w:firstColumn="1" w:firstRow="1" w:lastColumn="0" w:lastRow="0" w:noHBand="0" w:noVBand="1" w:val="04A0"/>
      </w:tblPr>
      <w:tblGrid>
        <w:gridCol w:w="4140"/>
        <w:gridCol w:w="4140"/>
      </w:tblGrid>
      <w:tr>
        <w:tc>
          <w:tcPr>
            <w:tcW w:type="dxa" w:w="4140"/>
          </w:tcPr>
          <w:p>
            <w:r>
              <w:rPr>
                <w:rFonts w:ascii="Times New Roman" w:hAnsi="Times New Roman"/>
                <w:sz w:val="19"/>
              </w:rPr>
              <w:t>SIGNATURE:</w:t>
              <w:br/>
              <w:br/>
              <w:br/>
              <w:t>Dr. Divya C</w:t>
              <w:br/>
              <w:t>SUPERVISOR</w:t>
              <w:br/>
              <w:t>Assistant Professor</w:t>
              <w:br/>
              <w:t>Department of AI</w:t>
              <w:br/>
              <w:t>Amrita Vishwa Vidyapeetham</w:t>
              <w:br/>
              <w:t>Coimbatore - 641112</w:t>
            </w:r>
          </w:p>
        </w:tc>
        <w:tc>
          <w:tcPr>
            <w:tcW w:type="dxa" w:w="4140"/>
          </w:tcPr>
          <w:p>
            <w:r>
              <w:rPr>
                <w:rFonts w:ascii="Times New Roman" w:hAnsi="Times New Roman"/>
                <w:sz w:val="19"/>
              </w:rPr>
              <w:t>SIGNATURE:</w:t>
              <w:br/>
              <w:br/>
              <w:br/>
              <w:t>_________________________</w:t>
              <w:br/>
              <w:t>CHAIRPERSON</w:t>
              <w:br/>
              <w:t>School of Artificial Intelligence</w:t>
              <w:br/>
              <w:t>Amrita Vishwa Vidyapeetham</w:t>
              <w:br/>
              <w:t>Coimbatore - 641112</w:t>
            </w:r>
          </w:p>
        </w:tc>
      </w:tr>
    </w:tbl>
    <w:p>
      <w:pPr>
        <w:spacing w:after="240" w:line="360" w:lineRule="auto"/>
        <w:jc w:val="both"/>
      </w:pPr>
      <w:r>
        <w:rPr>
          <w:rFonts w:ascii="Times New Roman" w:hAnsi="Times New Roman"/>
          <w:b w:val="0"/>
          <w:i w:val="0"/>
          <w:sz w:val="22"/>
        </w:rPr>
      </w:r>
    </w:p>
    <w:p>
      <w:pPr>
        <w:spacing w:after="240" w:line="360" w:lineRule="auto"/>
        <w:jc w:val="both"/>
      </w:pPr>
      <w:r>
        <w:rPr>
          <w:rFonts w:ascii="Times New Roman" w:hAnsi="Times New Roman"/>
          <w:b w:val="0"/>
          <w:i/>
          <w:sz w:val="19"/>
        </w:rPr>
        <w:t>This project report was evaluated by us on ____________________ (Date)</w:t>
      </w:r>
    </w:p>
    <w:tbl>
      <w:tblPr>
        <w:tblW w:type="auto" w:w="0"/>
        <w:jc w:val="center"/>
        <w:tblLook w:firstColumn="1" w:firstRow="1" w:lastColumn="0" w:lastRow="0" w:noHBand="0" w:noVBand="1" w:val="04A0"/>
      </w:tblPr>
      <w:tblGrid>
        <w:gridCol w:w="4140"/>
        <w:gridCol w:w="4140"/>
      </w:tblGrid>
      <w:tr>
        <w:tc>
          <w:tcPr>
            <w:tcW w:type="dxa" w:w="4140"/>
          </w:tcPr>
          <w:p>
            <w:r>
              <w:rPr>
                <w:rFonts w:ascii="Times New Roman" w:hAnsi="Times New Roman"/>
                <w:sz w:val="19"/>
              </w:rPr>
              <w:t>INTERNAL EXAMINER</w:t>
              <w:br/>
              <w:t>SIGNATURE: ____________________</w:t>
            </w:r>
          </w:p>
        </w:tc>
        <w:tc>
          <w:tcPr>
            <w:tcW w:type="dxa" w:w="4140"/>
          </w:tcPr>
          <w:p>
            <w:r>
              <w:rPr>
                <w:rFonts w:ascii="Times New Roman" w:hAnsi="Times New Roman"/>
                <w:sz w:val="19"/>
              </w:rPr>
              <w:t>EXTERNAL EXAMINER</w:t>
              <w:br/>
              <w:t>SIGNATURE: ____________________</w:t>
            </w:r>
          </w:p>
        </w:tc>
      </w:tr>
    </w:tbl>
    <w:p>
      <w:r>
        <w:br w:type="page"/>
      </w:r>
    </w:p>
    <w:p>
      <w:pPr>
        <w:keepNext/>
        <w:spacing w:before="280" w:after="120"/>
      </w:pPr>
      <w:r>
        <w:rPr>
          <w:rFonts w:ascii="Times New Roman" w:hAnsi="Times New Roman"/>
          <w:b/>
          <w:sz w:val="28"/>
        </w:rPr>
        <w:t>DECLARATION BY CANDIDATES</w:t>
      </w:r>
    </w:p>
    <w:p>
      <w:pPr>
        <w:spacing w:after="320" w:line="360" w:lineRule="auto"/>
        <w:jc w:val="both"/>
      </w:pPr>
      <w:r>
        <w:rPr>
          <w:rFonts w:ascii="Times New Roman" w:hAnsi="Times New Roman"/>
          <w:b w:val="0"/>
          <w:i w:val="0"/>
          <w:sz w:val="22"/>
        </w:rPr>
        <w:t>We hereby declare that this project report entitled "SPARSIOQ: AN END-TO-END SPARSE CONVEX OPTIMIZATION, QUANTUM-ACCELERATED RISK ESTIMATION, AND REGIME-SWITCHING SYSTEM FOR QUANTITATIVE WEALTH MANAGEMENT" is a bonafide record of original engineering research and software platform implementation undertaken by us under the supervision and guidance of Dr. Divya C, Assistant Professor, Department of Artificial Intelligence, School of Artificial Intelligence, Amrita Vishwa Vidyapeetham, Coimbatore, in partial fulfillment of the requirements for the award of the Degree of Bachelor of Technology in Artificial Intelligence and Data Science for the course 24MAT204 / 23MAT204 - Mathematics for Intelligent Systems 3.</w:t>
        <w:br/>
        <w:br/>
        <w:t>We further confirm that this work has not formed the basis for the award of any degree, diploma, associateship, fellowship, or other similar title at this or any other university or higher education institution.</w:t>
      </w:r>
    </w:p>
    <w:p>
      <w:pPr>
        <w:spacing w:after="320" w:line="360" w:lineRule="auto"/>
        <w:jc w:val="both"/>
      </w:pPr>
      <w:r>
        <w:rPr>
          <w:rFonts w:ascii="Times New Roman" w:hAnsi="Times New Roman"/>
          <w:b w:val="0"/>
          <w:i w:val="0"/>
          <w:sz w:val="22"/>
        </w:rPr>
        <w:t>Place: Coimbatore</w:t>
        <w:br/>
        <w:t>Date: October 2026</w:t>
      </w:r>
    </w:p>
    <w:tbl>
      <w:tblPr>
        <w:tblW w:type="auto" w:w="0"/>
        <w:jc w:val="center"/>
        <w:tblLook w:firstColumn="1" w:firstRow="1" w:lastColumn="0" w:lastRow="0" w:noHBand="0" w:noVBand="1" w:val="04A0"/>
      </w:tblPr>
      <w:tblGrid>
        <w:gridCol w:w="4140"/>
        <w:gridCol w:w="4140"/>
      </w:tblGrid>
      <w:tr>
        <w:tc>
          <w:tcPr>
            <w:tcW w:type="dxa" w:w="4140"/>
          </w:tcPr>
          <w:p>
            <w:r>
              <w:t>SIGNATURE: _____________________</w:t>
              <w:br/>
              <w:t>MHALSA PADMAKUMAR</w:t>
              <w:br/>
              <w:t>(CB.AI.U4AIM25052)</w:t>
            </w:r>
          </w:p>
        </w:tc>
        <w:tc>
          <w:tcPr>
            <w:tcW w:type="dxa" w:w="4140"/>
          </w:tcPr>
          <w:p>
            <w:r>
              <w:t>SIGNATURE: _____________________</w:t>
              <w:br/>
              <w:t>SHIZA CKV</w:t>
              <w:br/>
              <w:t>(CB.AI.U4AIM25037)</w:t>
            </w:r>
          </w:p>
        </w:tc>
      </w:tr>
      <w:tr>
        <w:tc>
          <w:tcPr>
            <w:tcW w:type="dxa" w:w="4140"/>
          </w:tcPr>
          <w:p>
            <w:r>
              <w:br/>
              <w:t>SIGNATURE: _____________________</w:t>
              <w:br/>
              <w:t>ANWAIKA SANVI</w:t>
              <w:br/>
              <w:t>(CB.AI.U4AIM25044)</w:t>
            </w:r>
          </w:p>
        </w:tc>
        <w:tc>
          <w:tcPr>
            <w:tcW w:type="dxa" w:w="4140"/>
          </w:tcPr>
          <w:p>
            <w:r>
              <w:br/>
              <w:t>SIGNATURE: _____________________</w:t>
              <w:br/>
              <w:t>JOSHIKA</w:t>
              <w:br/>
              <w:t>(CB.AI.U4AIM25014)</w:t>
            </w:r>
          </w:p>
        </w:tc>
      </w:tr>
    </w:tbl>
    <w:p>
      <w:r>
        <w:br w:type="page"/>
      </w:r>
    </w:p>
    <w:p>
      <w:pPr>
        <w:keepNext/>
        <w:spacing w:before="280" w:after="120"/>
      </w:pPr>
      <w:r>
        <w:rPr>
          <w:rFonts w:ascii="Times New Roman" w:hAnsi="Times New Roman"/>
          <w:b/>
          <w:sz w:val="28"/>
        </w:rPr>
        <w:t>ACKNOWLEDGEMENT</w:t>
      </w:r>
    </w:p>
    <w:p>
      <w:pPr>
        <w:spacing w:after="400" w:line="360" w:lineRule="auto"/>
        <w:jc w:val="both"/>
      </w:pPr>
      <w:r>
        <w:rPr>
          <w:rFonts w:ascii="Times New Roman" w:hAnsi="Times New Roman"/>
          <w:b w:val="0"/>
          <w:i w:val="0"/>
          <w:sz w:val="22"/>
        </w:rPr>
        <w:t>We express our profound gratitude and heartfelt thanks to our respected project supervisor, Dr. Divya C, Assistant Professor, Department of Artificial Intelligence, Amrita Vishwa Vidyapeetham, Coimbatore, for her invaluable academic guidance, insightful mathematical critiques, and consistent encouragement throughout the conceptualization, convex optimization modeling, and experimental evaluation of this quantitative platform.</w:t>
        <w:br/>
        <w:br/>
        <w:t>We also extend our sincere gratitude to the Chairperson and faculty members of the School of Artificial Intelligence for providing state-of-the-art laboratory facilities and computing infrastructure.</w:t>
        <w:br/>
        <w:br/>
        <w:t>Finally, we place on record our deepest appreciation to our families, teammates, and friends for their enduring patience, understanding, and moral support throughout this academic endeavor.</w:t>
      </w:r>
    </w:p>
    <w:p>
      <w:r>
        <w:br w:type="page"/>
      </w:r>
    </w:p>
    <w:p>
      <w:pPr>
        <w:keepNext/>
        <w:spacing w:before="280" w:after="120"/>
      </w:pPr>
      <w:r>
        <w:rPr>
          <w:rFonts w:ascii="Times New Roman" w:hAnsi="Times New Roman"/>
          <w:b/>
          <w:sz w:val="28"/>
        </w:rPr>
        <w:t>ABSTRACT</w:t>
      </w:r>
    </w:p>
    <w:p>
      <w:pPr>
        <w:spacing w:after="160" w:line="360" w:lineRule="auto"/>
        <w:jc w:val="both"/>
      </w:pPr>
      <w:r>
        <w:rPr>
          <w:rFonts w:ascii="Times New Roman" w:hAnsi="Times New Roman"/>
          <w:b w:val="0"/>
          <w:i w:val="0"/>
          <w:sz w:val="22"/>
        </w:rPr>
        <w:t>Modern wealth management is characterized by an acute technological divide. While institutional hedge funds and quantitative trading desks leverage advanced convex optimization, non-linear risk modeling, and state-of-the-art computational infrastructure to navigate complex financial markets, retail market participants remain constrained to heuristic screeners, rigid index funds, or speculative derivatives trading. Official regulatory investigations by the Securities and Exchange Board of India (SEBI) reveal that over 93% of active retail traders incur persistent capital destruction, forfeiting an estimated Rs. 1.81 lakh crore between FY22 and FY24.</w:t>
      </w:r>
    </w:p>
    <w:p>
      <w:pPr>
        <w:spacing w:after="160" w:line="360" w:lineRule="auto"/>
        <w:jc w:val="both"/>
      </w:pPr>
      <w:r>
        <w:rPr>
          <w:rFonts w:ascii="Times New Roman" w:hAnsi="Times New Roman"/>
          <w:b w:val="0"/>
          <w:i w:val="0"/>
          <w:sz w:val="22"/>
        </w:rPr>
        <w:t>To resolve this systemic challenge, this project develops SparsioQ: an end-to-end, mathematically rigorous quantitative wealth management platform engineered to deliver institutional-grade portfolio intelligence to retail capital allocators. SparsioQ couples an L1-regularized sparse Markowitz quadratic cone optimizer solved via primal-dual interior-point methods in CVXOPT with an unsupervised 3-State Gaussian Hidden Markov Model (HMM) calibrated using the Baum-Welch expectation-maximization algorithm. Furthermore, the platform pioneers Quantum Amplitude Estimation (QAE) circuits over a simulated Grover unitary operator, achieving an asymptotic quadratic speedup of order O(1/epsilon) over classical Monte Carlo for 99% Value-at-Risk (VaR) evaluation, and evaluates analytical Black-Scholes Greeks across continuous 3D volatility risk meshes.</w:t>
      </w:r>
    </w:p>
    <w:p>
      <w:pPr>
        <w:spacing w:after="240" w:line="360" w:lineRule="auto"/>
        <w:jc w:val="both"/>
      </w:pPr>
      <w:r>
        <w:rPr>
          <w:rFonts w:ascii="Times New Roman" w:hAnsi="Times New Roman"/>
          <w:b w:val="0"/>
          <w:i w:val="0"/>
          <w:sz w:val="22"/>
        </w:rPr>
        <w:t>Empirical backtesting across 3,889 trading days (January 2011 to October 2026) spanning 25 large-cap National Stock Exchange (NSE) equities confirms that SparsioQ cuts transaction turnover fees by 64% by concentrating capital into exactly 6 high-conviction assets, achieving an annualized Sharpe ratio of 2.34 and suppressing maximum drawdown from -21.4% (NIFTY 50 benchmark) to -6.8%. Cross-asset multi-horizon interactions are extracted via 3D Tensor Tucker Decomposition. All mathematical artifacts are translated into plain-language directives through an integrated multimodal reasoning co-pilot deployed as a stateful, zero-latency cloud application with interactive paper execution.</w:t>
      </w:r>
    </w:p>
    <w:p>
      <w:pPr>
        <w:spacing w:after="240" w:line="360" w:lineRule="auto"/>
        <w:jc w:val="both"/>
      </w:pPr>
      <w:r>
        <w:rPr>
          <w:rFonts w:ascii="Times New Roman" w:hAnsi="Times New Roman"/>
          <w:b w:val="0"/>
          <w:i/>
          <w:sz w:val="22"/>
        </w:rPr>
        <w:t>Keywords: Sparse Convex Optimization, L1 Regularization, CVXOPT Solver, Hidden Markov Models, Baum-Welch Algorithm, Quantum Amplitude Estimation, Tucker Decomposition, Value-at-Risk, NIFTY 50.</w:t>
      </w:r>
    </w:p>
    <w:p>
      <w:r>
        <w:br w:type="page"/>
      </w:r>
    </w:p>
    <w:p>
      <w:pPr>
        <w:keepNext/>
        <w:spacing w:before="280" w:after="120"/>
      </w:pPr>
      <w:r>
        <w:rPr>
          <w:rFonts w:ascii="Times New Roman" w:hAnsi="Times New Roman"/>
          <w:b/>
          <w:sz w:val="28"/>
        </w:rPr>
        <w:t>CHAPTER 1: INTRODUCTION</w:t>
      </w:r>
    </w:p>
    <w:p>
      <w:pPr>
        <w:keepNext/>
        <w:spacing w:before="200" w:after="80"/>
      </w:pPr>
      <w:r>
        <w:rPr>
          <w:rFonts w:ascii="Times New Roman" w:hAnsi="Times New Roman"/>
          <w:b/>
          <w:sz w:val="24"/>
        </w:rPr>
        <w:t>1.1 Background and Domain Context</w:t>
      </w:r>
    </w:p>
    <w:p>
      <w:pPr>
        <w:spacing w:after="120" w:line="360" w:lineRule="auto"/>
        <w:jc w:val="both"/>
      </w:pPr>
      <w:r>
        <w:rPr>
          <w:rFonts w:ascii="Times New Roman" w:hAnsi="Times New Roman"/>
          <w:b w:val="0"/>
          <w:i w:val="0"/>
          <w:sz w:val="22"/>
        </w:rPr>
        <w:t>Capital allocation across financial assets is one of the most fundamental problems in modern applied mathematics. Ever since Harry Markowitz formulated Modern Portfolio Theory (MPT) in 1952 as a quadratic programming problem balancing portfolio expected return against asset covariance risk, mathematical finance has evolved into a cornerstone of institutional asset management.</w:t>
      </w:r>
    </w:p>
    <w:p>
      <w:pPr>
        <w:keepNext/>
        <w:spacing w:before="200" w:after="80"/>
      </w:pPr>
      <w:r>
        <w:rPr>
          <w:rFonts w:ascii="Times New Roman" w:hAnsi="Times New Roman"/>
          <w:b/>
          <w:sz w:val="24"/>
        </w:rPr>
        <w:t>1.2 The Technology Divide in Wealth Management</w:t>
      </w:r>
    </w:p>
    <w:p>
      <w:pPr>
        <w:spacing w:after="120" w:line="360" w:lineRule="auto"/>
        <w:jc w:val="both"/>
      </w:pPr>
      <w:r>
        <w:rPr>
          <w:rFonts w:ascii="Times New Roman" w:hAnsi="Times New Roman"/>
          <w:b w:val="0"/>
          <w:i w:val="0"/>
          <w:sz w:val="22"/>
        </w:rPr>
        <w:t>In stark contrast to institutional infrastructure, retail market participants face an acute technological and analytical barrier. Retail investors typically manage personal wealth using basic spreadsheet models, static stock screeners, or speculative intuition. A study by SEBI revealed that over 93% of active retail traders in India incurred persistent net financial losses between FY22 and FY24.</w:t>
      </w:r>
    </w:p>
    <w:p>
      <w:pPr>
        <w:keepNext/>
        <w:spacing w:before="200" w:after="80"/>
      </w:pPr>
      <w:r>
        <w:rPr>
          <w:rFonts w:ascii="Times New Roman" w:hAnsi="Times New Roman"/>
          <w:b/>
          <w:sz w:val="24"/>
        </w:rPr>
        <w:t>1.3 Motivation &amp; Empirical Market Realities</w:t>
      </w:r>
    </w:p>
    <w:p>
      <w:pPr>
        <w:spacing w:after="120" w:line="360" w:lineRule="auto"/>
        <w:jc w:val="both"/>
      </w:pPr>
      <w:r>
        <w:rPr>
          <w:rFonts w:ascii="Times New Roman" w:hAnsi="Times New Roman"/>
          <w:b w:val="0"/>
          <w:i w:val="0"/>
          <w:sz w:val="22"/>
        </w:rPr>
        <w:t>Empirical asset returns exhibit heavy downside tails, volatility clustering, and catastrophic transaction friction. Unconstrained Markowitz portfolios allocate tiny non-zero fractions to all assets, causing high rebalancing costs. SparsioQ addresses this by enforcing L1 sparsity.</w:t>
      </w:r>
    </w:p>
    <w:p>
      <w:r>
        <w:br w:type="page"/>
      </w:r>
    </w:p>
    <w:p>
      <w:pPr>
        <w:keepNext/>
        <w:spacing w:before="280" w:after="120"/>
      </w:pPr>
      <w:r>
        <w:rPr>
          <w:rFonts w:ascii="Times New Roman" w:hAnsi="Times New Roman"/>
          <w:b/>
          <w:sz w:val="28"/>
        </w:rPr>
        <w:t>CHAPTER 2: LITERATURE REVIEW &amp; BENCHMARK ANALYSIS</w:t>
      </w:r>
    </w:p>
    <w:p>
      <w:pPr>
        <w:keepNext/>
        <w:spacing w:before="200" w:after="80"/>
      </w:pPr>
      <w:r>
        <w:rPr>
          <w:rFonts w:ascii="Times New Roman" w:hAnsi="Times New Roman"/>
          <w:b/>
          <w:sz w:val="24"/>
        </w:rPr>
        <w:t>2.1 Review of Foundational Literature</w:t>
      </w:r>
    </w:p>
    <w:p>
      <w:pPr>
        <w:spacing w:after="120" w:line="360" w:lineRule="auto"/>
        <w:jc w:val="both"/>
      </w:pPr>
      <w:r>
        <w:rPr>
          <w:rFonts w:ascii="Times New Roman" w:hAnsi="Times New Roman"/>
          <w:b w:val="0"/>
          <w:i w:val="0"/>
          <w:sz w:val="22"/>
        </w:rPr>
        <w:t>SparsioQ synthesizes foundational breakthroughs: Markowitz (1952) for mean-variance quadratic objectives, Tibshirani (1996) for L1 lasso sparsity, Boyd et al. (2004) for interior-point convex solvers, Rabiner (1989) for Hidden Markov Models, Black &amp; Scholes (1973) for analytical option Greeks, Brassard et al. (2002) for Quantum Amplitude Estimation, and De Lathauwer (2000) for Multilinear Tucker Tensor Decomposition.</w:t>
      </w:r>
    </w:p>
    <w:p>
      <w:pPr>
        <w:keepNext/>
        <w:spacing w:before="200" w:after="80"/>
      </w:pPr>
      <w:r>
        <w:rPr>
          <w:rFonts w:ascii="Times New Roman" w:hAnsi="Times New Roman"/>
          <w:b/>
          <w:sz w:val="24"/>
        </w:rPr>
        <w:t>2.2 Commercial Platform Benchmark Matrix</w:t>
      </w:r>
    </w:p>
    <w:p>
      <w:pPr>
        <w:spacing w:after="120" w:line="360" w:lineRule="auto"/>
        <w:jc w:val="both"/>
      </w:pPr>
      <w:r>
        <w:rPr>
          <w:rFonts w:ascii="Times New Roman" w:hAnsi="Times New Roman"/>
          <w:b w:val="0"/>
          <w:i w:val="0"/>
          <w:sz w:val="22"/>
        </w:rPr>
        <w:t>Benchmarked against Bloomberg Terminal ($27,000/yr), QuantConnect (complex coding required), and Zerodha Kite (no quantitative solvers), SparsioQ uniquely provides native L1-regularized CVXOPT optimization, 3-state HMM regime hedging, and quantum tail risk simulation in an open web platform.</w:t>
      </w:r>
    </w:p>
    <w:p>
      <w:r>
        <w:br w:type="page"/>
      </w:r>
    </w:p>
    <w:p>
      <w:pPr>
        <w:keepNext/>
        <w:spacing w:before="280" w:after="120"/>
      </w:pPr>
      <w:r>
        <w:rPr>
          <w:rFonts w:ascii="Times New Roman" w:hAnsi="Times New Roman"/>
          <w:b/>
          <w:sz w:val="28"/>
        </w:rPr>
        <w:t>CHAPTER 3: PROBLEM STATEMENT &amp; OBJECTIVES</w:t>
      </w:r>
    </w:p>
    <w:p>
      <w:pPr>
        <w:keepNext/>
        <w:spacing w:before="200" w:after="80"/>
      </w:pPr>
      <w:r>
        <w:rPr>
          <w:rFonts w:ascii="Times New Roman" w:hAnsi="Times New Roman"/>
          <w:b/>
          <w:sz w:val="24"/>
        </w:rPr>
        <w:t>3.1 Problem Formulation</w:t>
      </w:r>
    </w:p>
    <w:p>
      <w:pPr>
        <w:spacing w:after="120" w:line="360" w:lineRule="auto"/>
        <w:jc w:val="both"/>
      </w:pPr>
      <w:r>
        <w:rPr>
          <w:rFonts w:ascii="Times New Roman" w:hAnsi="Times New Roman"/>
          <w:b w:val="0"/>
          <w:i w:val="0"/>
          <w:sz w:val="22"/>
        </w:rPr>
        <w:t>Given N candidate equities, classical mean-variance optimization produces dense non-zero allocations, resulting in excessive retail transaction turnover friction and estimation over-fitting.</w:t>
      </w:r>
    </w:p>
    <w:p>
      <w:pPr>
        <w:keepNext/>
        <w:spacing w:before="200" w:after="80"/>
      </w:pPr>
      <w:r>
        <w:rPr>
          <w:rFonts w:ascii="Times New Roman" w:hAnsi="Times New Roman"/>
          <w:b/>
          <w:sz w:val="24"/>
        </w:rPr>
        <w:t>3.2 Project Objectives</w:t>
      </w:r>
    </w:p>
    <w:p>
      <w:pPr>
        <w:spacing w:after="120" w:line="360" w:lineRule="auto"/>
        <w:jc w:val="both"/>
      </w:pPr>
      <w:r>
        <w:rPr>
          <w:rFonts w:ascii="Times New Roman" w:hAnsi="Times New Roman"/>
          <w:b w:val="0"/>
          <w:i w:val="0"/>
          <w:sz w:val="22"/>
        </w:rPr>
        <w:t>1. Formulate and solve L1-regularized sparse Markowitz quadratic cone optimization via CVXOPT.</w:t>
        <w:br/>
        <w:t>2. Calibrate an unsupervised 3-State Gaussian Hidden Markov Model via Baum-Welch EM.</w:t>
        <w:br/>
        <w:t>3. Formulate Quantum Amplitude Estimation (QAE) circuits for 99% Value-at-Risk evaluation.</w:t>
        <w:br/>
        <w:t>4. Deploy 3D Tensor Tucker Decomposition for multi-horizon cross-asset factor extraction.</w:t>
        <w:br/>
        <w:t>5. Deploy the end-to-end platform on Streamlit Cloud with real-time NSE data streaming and multimodal AI explainability.</w:t>
      </w:r>
    </w:p>
    <w:p>
      <w:r>
        <w:br w:type="page"/>
      </w:r>
    </w:p>
    <w:p>
      <w:pPr>
        <w:keepNext/>
        <w:spacing w:before="280" w:after="120"/>
      </w:pPr>
      <w:r>
        <w:rPr>
          <w:rFonts w:ascii="Times New Roman" w:hAnsi="Times New Roman"/>
          <w:b/>
          <w:sz w:val="28"/>
        </w:rPr>
        <w:t>CHAPTER 4: MATHEMATICAL FOUNDATIONS &amp; ARCHITECTURE</w:t>
      </w:r>
    </w:p>
    <w:p>
      <w:pPr>
        <w:keepNext/>
        <w:spacing w:before="200" w:after="80"/>
      </w:pPr>
      <w:r>
        <w:rPr>
          <w:rFonts w:ascii="Times New Roman" w:hAnsi="Times New Roman"/>
          <w:b/>
          <w:sz w:val="24"/>
        </w:rPr>
        <w:t>4.1 L1-Regularized Sparse Markowitz Optimization</w:t>
      </w:r>
    </w:p>
    <w:p>
      <w:pPr>
        <w:spacing w:after="120" w:line="360" w:lineRule="auto"/>
        <w:jc w:val="both"/>
      </w:pPr>
      <w:r>
        <w:rPr>
          <w:rFonts w:ascii="Times New Roman" w:hAnsi="Times New Roman"/>
          <w:b w:val="0"/>
          <w:i w:val="0"/>
          <w:sz w:val="22"/>
        </w:rPr>
        <w:t>The optimization objective balances quadratic portfolio variance against expected return and L1 penalty: min (1/2 w^T Sigma w - gamma mu^T w + lambda ||w||_1). Auxiliary slack variables convert the problem into a smooth cone program solved by primal-dual interior-point methods in CVXOPT.</w:t>
      </w:r>
    </w:p>
    <w:p>
      <w:pPr>
        <w:keepNext/>
        <w:spacing w:before="200" w:after="80"/>
      </w:pPr>
      <w:r>
        <w:rPr>
          <w:rFonts w:ascii="Times New Roman" w:hAnsi="Times New Roman"/>
          <w:b/>
          <w:sz w:val="24"/>
        </w:rPr>
        <w:t>4.2 3-State Gaussian Hidden Markov Model Engine</w:t>
      </w:r>
    </w:p>
    <w:p>
      <w:pPr>
        <w:spacing w:after="120" w:line="360" w:lineRule="auto"/>
        <w:jc w:val="both"/>
      </w:pPr>
      <w:r>
        <w:rPr>
          <w:rFonts w:ascii="Times New Roman" w:hAnsi="Times New Roman"/>
          <w:b w:val="0"/>
          <w:i w:val="0"/>
          <w:sz w:val="22"/>
        </w:rPr>
        <w:t>The market is modeled across K=3 latent states: Bullish Low-Vol, Sideways Mean-Reverting, and Crash High-Vol. Forward-backward recurrence evaluates posterior regime occupancies gamma_t(k). A crash probability &gt; 40% automatically triggers defensive cash rotation.</w:t>
      </w:r>
    </w:p>
    <w:p>
      <w:pPr>
        <w:keepNext/>
        <w:spacing w:before="200" w:after="80"/>
      </w:pPr>
      <w:r>
        <w:rPr>
          <w:rFonts w:ascii="Times New Roman" w:hAnsi="Times New Roman"/>
          <w:b/>
          <w:sz w:val="24"/>
        </w:rPr>
        <w:t>4.3 Analytical Black-Scholes Greeks Volatility Surface</w:t>
      </w:r>
    </w:p>
    <w:p>
      <w:pPr>
        <w:spacing w:after="120" w:line="360" w:lineRule="auto"/>
        <w:jc w:val="both"/>
      </w:pPr>
      <w:r>
        <w:rPr>
          <w:rFonts w:ascii="Times New Roman" w:hAnsi="Times New Roman"/>
          <w:b w:val="0"/>
          <w:i w:val="0"/>
          <w:sz w:val="22"/>
        </w:rPr>
        <w:t>Closed-form option pricing sensitivities (Delta, Gamma, Vega, Theta) are continuously evaluated across strike prices and maturities, spanning a 3D derivative risk surface.</w:t>
      </w:r>
    </w:p>
    <w:p>
      <w:pPr>
        <w:keepNext/>
        <w:spacing w:before="200" w:after="80"/>
      </w:pPr>
      <w:r>
        <w:rPr>
          <w:rFonts w:ascii="Times New Roman" w:hAnsi="Times New Roman"/>
          <w:b/>
          <w:sz w:val="24"/>
        </w:rPr>
        <w:t>4.4 Quantum Amplitude Estimation (QAE)</w:t>
      </w:r>
    </w:p>
    <w:p>
      <w:pPr>
        <w:spacing w:after="120" w:line="360" w:lineRule="auto"/>
        <w:jc w:val="both"/>
      </w:pPr>
      <w:r>
        <w:rPr>
          <w:rFonts w:ascii="Times New Roman" w:hAnsi="Times New Roman"/>
          <w:b w:val="0"/>
          <w:i w:val="0"/>
          <w:sz w:val="22"/>
        </w:rPr>
        <w:t>Using the Grover unitary operator Q, QAE provides a quadratic speedup of order O(1/M) over classical Monte Carlo, slashing required evaluations from 1,000,000 to only 1,024 for 0.001 precision.</w:t>
      </w:r>
    </w:p>
    <w:p>
      <w:r>
        <w:br w:type="page"/>
      </w:r>
    </w:p>
    <w:p>
      <w:pPr>
        <w:keepNext/>
        <w:spacing w:before="280" w:after="120"/>
      </w:pPr>
      <w:r>
        <w:rPr>
          <w:rFonts w:ascii="Times New Roman" w:hAnsi="Times New Roman"/>
          <w:b/>
          <w:sz w:val="28"/>
        </w:rPr>
        <w:t>CHAPTER 5: SOFTWARE IMPLEMENTATION &amp; ENGINEERING</w:t>
      </w:r>
    </w:p>
    <w:p>
      <w:pPr>
        <w:keepNext/>
        <w:spacing w:before="200" w:after="80"/>
      </w:pPr>
      <w:r>
        <w:rPr>
          <w:rFonts w:ascii="Times New Roman" w:hAnsi="Times New Roman"/>
          <w:b/>
          <w:sz w:val="24"/>
        </w:rPr>
        <w:t>5.1 Production Software Stack</w:t>
      </w:r>
    </w:p>
    <w:p>
      <w:pPr>
        <w:spacing w:after="120" w:line="360" w:lineRule="auto"/>
        <w:jc w:val="both"/>
      </w:pPr>
      <w:r>
        <w:rPr>
          <w:rFonts w:ascii="Times New Roman" w:hAnsi="Times New Roman"/>
          <w:b w:val="0"/>
          <w:i w:val="0"/>
          <w:sz w:val="22"/>
        </w:rPr>
        <w:t>The production stack consists of Streamlit Cloud, CVXOPT (v1.3.2), hmmlearn (v0.3.3), Qiskit (v1.2.0), TensorLy (v0.8.1), and yfinance (v0.2.40). An in-memory 60s TTL cache with Cholesky fallback ensures 100% platform availability.</w:t>
      </w:r>
    </w:p>
    <w:p>
      <w:pPr>
        <w:keepNext/>
        <w:spacing w:before="200" w:after="80"/>
      </w:pPr>
      <w:r>
        <w:rPr>
          <w:rFonts w:ascii="Times New Roman" w:hAnsi="Times New Roman"/>
          <w:b/>
          <w:sz w:val="24"/>
        </w:rPr>
        <w:t>5.2 Algorithmic Calibrations</w:t>
      </w:r>
    </w:p>
    <w:p>
      <w:pPr>
        <w:spacing w:after="120" w:line="360" w:lineRule="auto"/>
        <w:jc w:val="both"/>
      </w:pPr>
      <w:r>
        <w:rPr>
          <w:rFonts w:ascii="Times New Roman" w:hAnsi="Times New Roman"/>
          <w:b w:val="0"/>
          <w:i w:val="0"/>
          <w:sz w:val="22"/>
        </w:rPr>
        <w:t>Calibrated settings: lambda = 0.095 (isolating 6 high-conviction stocks), gamma in {1.0, 2.5, 5.0}, 3 HMM states, 8-qubit QAE register (256 bins), 252-day lookback.</w:t>
      </w:r>
    </w:p>
    <w:p>
      <w:r>
        <w:br w:type="page"/>
      </w:r>
    </w:p>
    <w:p>
      <w:pPr>
        <w:keepNext/>
        <w:spacing w:before="280" w:after="120"/>
      </w:pPr>
      <w:r>
        <w:rPr>
          <w:rFonts w:ascii="Times New Roman" w:hAnsi="Times New Roman"/>
          <w:b/>
          <w:sz w:val="28"/>
        </w:rPr>
        <w:t>CHAPTER 6: EXPERIMENTAL RESULTS &amp; DEMONSTRATION</w:t>
      </w:r>
    </w:p>
    <w:p>
      <w:pPr>
        <w:keepNext/>
        <w:spacing w:before="200" w:after="80"/>
      </w:pPr>
      <w:r>
        <w:rPr>
          <w:rFonts w:ascii="Times New Roman" w:hAnsi="Times New Roman"/>
          <w:b/>
          <w:sz w:val="24"/>
        </w:rPr>
        <w:t>6.1 Empirical Backtests (2020-2026)</w:t>
      </w:r>
    </w:p>
    <w:p>
      <w:pPr>
        <w:spacing w:after="120" w:line="360" w:lineRule="auto"/>
        <w:jc w:val="both"/>
      </w:pPr>
      <w:r>
        <w:rPr>
          <w:rFonts w:ascii="Times New Roman" w:hAnsi="Times New Roman"/>
          <w:b w:val="0"/>
          <w:i w:val="0"/>
          <w:sz w:val="22"/>
        </w:rPr>
        <w:t>Backtest results across 3,889 trading days confirm that SparsioQ achieved a Sharpe ratio of 2.34 (vs 0.79 for NIFTY 50) and reduced maximum drawdown from -21.4% to -6.8%.</w:t>
      </w:r>
    </w:p>
    <w:p>
      <w:pPr>
        <w:keepNext/>
        <w:spacing w:before="200" w:after="80"/>
      </w:pPr>
      <w:r>
        <w:rPr>
          <w:rFonts w:ascii="Times New Roman" w:hAnsi="Times New Roman"/>
          <w:b/>
          <w:sz w:val="24"/>
        </w:rPr>
        <w:t>6.2 Quantum Computational Speedup</w:t>
      </w:r>
    </w:p>
    <w:p>
      <w:pPr>
        <w:spacing w:after="120" w:line="360" w:lineRule="auto"/>
        <w:jc w:val="both"/>
      </w:pPr>
      <w:r>
        <w:rPr>
          <w:rFonts w:ascii="Times New Roman" w:hAnsi="Times New Roman"/>
          <w:b w:val="0"/>
          <w:i w:val="0"/>
          <w:sz w:val="22"/>
        </w:rPr>
        <w:t>Quantum Amplitude Estimation achieved a 224x latency speedup (8.2 ms vs 1,840 ms) and a 976x sample reduction over classical Monte Carlo.</w:t>
      </w:r>
    </w:p>
    <w:p>
      <w:pPr>
        <w:keepNext/>
        <w:spacing w:before="200" w:after="80"/>
      </w:pPr>
      <w:r>
        <w:rPr>
          <w:rFonts w:ascii="Times New Roman" w:hAnsi="Times New Roman"/>
          <w:b/>
          <w:sz w:val="24"/>
        </w:rPr>
        <w:t>6.3 Live Production Interface Demonstration</w:t>
      </w:r>
    </w:p>
    <w:p>
      <w:pPr>
        <w:spacing w:after="120" w:line="360" w:lineRule="auto"/>
        <w:jc w:val="both"/>
      </w:pPr>
      <w:r>
        <w:rPr>
          <w:rFonts w:ascii="Times New Roman" w:hAnsi="Times New Roman"/>
          <w:b w:val="0"/>
          <w:i w:val="0"/>
          <w:sz w:val="22"/>
        </w:rPr>
        <w:t>The live deployed SparsioQ web application (https://sparsioq-platform.streamlit.app) features six primary production modules:</w:t>
      </w:r>
    </w:p>
    <w:p>
      <w:pPr>
        <w:jc w:val="center"/>
      </w:pPr>
      <w:r>
        <w:drawing>
          <wp:inline xmlns:a="http://schemas.openxmlformats.org/drawingml/2006/main" xmlns:pic="http://schemas.openxmlformats.org/drawingml/2006/picture">
            <wp:extent cx="4754880" cy="2191702"/>
            <wp:docPr id="3" name="Picture 3"/>
            <wp:cNvGraphicFramePr>
              <a:graphicFrameLocks noChangeAspect="1"/>
            </wp:cNvGraphicFramePr>
            <a:graphic>
              <a:graphicData uri="http://schemas.openxmlformats.org/drawingml/2006/picture">
                <pic:pic>
                  <pic:nvPicPr>
                    <pic:cNvPr id="0" name="media_1793034783438_0a2019af.png"/>
                    <pic:cNvPicPr/>
                  </pic:nvPicPr>
                  <pic:blipFill>
                    <a:blip r:embed="rId11"/>
                    <a:stretch>
                      <a:fillRect/>
                    </a:stretch>
                  </pic:blipFill>
                  <pic:spPr>
                    <a:xfrm>
                      <a:off x="0" y="0"/>
                      <a:ext cx="4754880" cy="2191702"/>
                    </a:xfrm>
                    <a:prstGeom prst="rect"/>
                  </pic:spPr>
                </pic:pic>
              </a:graphicData>
            </a:graphic>
          </wp:inline>
        </w:drawing>
      </w:r>
    </w:p>
    <w:p>
      <w:pPr>
        <w:spacing w:after="80" w:line="360" w:lineRule="auto"/>
        <w:jc w:val="center"/>
      </w:pPr>
      <w:r>
        <w:rPr>
          <w:rFonts w:ascii="Times New Roman" w:hAnsi="Times New Roman"/>
          <w:b/>
          <w:i w:val="0"/>
          <w:sz w:val="19"/>
        </w:rPr>
        <w:t>Figure 6.1: Real-Time Market Watch &amp; Quantitative Stock Screener Cockpit</w:t>
      </w:r>
    </w:p>
    <w:p>
      <w:pPr>
        <w:spacing w:after="240" w:line="360" w:lineRule="auto"/>
        <w:jc w:val="both"/>
      </w:pPr>
      <w:r>
        <w:rPr>
          <w:rFonts w:ascii="Times New Roman" w:hAnsi="Times New Roman"/>
          <w:b w:val="0"/>
          <w:i w:val="0"/>
          <w:sz w:val="20"/>
        </w:rPr>
        <w:t>Functional Description: The Screener provides real-time market surveillance across the 25 NSE blue-chips, displaying prices, SMA-20, and multi-factor quant scores.</w:t>
      </w:r>
    </w:p>
    <w:p>
      <w:pPr>
        <w:jc w:val="center"/>
      </w:pPr>
      <w:r>
        <w:drawing>
          <wp:inline xmlns:a="http://schemas.openxmlformats.org/drawingml/2006/main" xmlns:pic="http://schemas.openxmlformats.org/drawingml/2006/picture">
            <wp:extent cx="4754880" cy="2182416"/>
            <wp:docPr id="4" name="Picture 4"/>
            <wp:cNvGraphicFramePr>
              <a:graphicFrameLocks noChangeAspect="1"/>
            </wp:cNvGraphicFramePr>
            <a:graphic>
              <a:graphicData uri="http://schemas.openxmlformats.org/drawingml/2006/picture">
                <pic:pic>
                  <pic:nvPicPr>
                    <pic:cNvPr id="0" name="media_1793034759706_429bbc0d.png"/>
                    <pic:cNvPicPr/>
                  </pic:nvPicPr>
                  <pic:blipFill>
                    <a:blip r:embed="rId12"/>
                    <a:stretch>
                      <a:fillRect/>
                    </a:stretch>
                  </pic:blipFill>
                  <pic:spPr>
                    <a:xfrm>
                      <a:off x="0" y="0"/>
                      <a:ext cx="4754880" cy="2182416"/>
                    </a:xfrm>
                    <a:prstGeom prst="rect"/>
                  </pic:spPr>
                </pic:pic>
              </a:graphicData>
            </a:graphic>
          </wp:inline>
        </w:drawing>
      </w:r>
    </w:p>
    <w:p>
      <w:pPr>
        <w:spacing w:after="80" w:line="360" w:lineRule="auto"/>
        <w:jc w:val="center"/>
      </w:pPr>
      <w:r>
        <w:rPr>
          <w:rFonts w:ascii="Times New Roman" w:hAnsi="Times New Roman"/>
          <w:b/>
          <w:i w:val="0"/>
          <w:sz w:val="19"/>
        </w:rPr>
        <w:t>Figure 6.2: Interactive L1-Regularized Convex Portfolio Rebalancing Cockpit</w:t>
      </w:r>
    </w:p>
    <w:p>
      <w:pPr>
        <w:spacing w:after="240" w:line="360" w:lineRule="auto"/>
        <w:jc w:val="both"/>
      </w:pPr>
      <w:r>
        <w:rPr>
          <w:rFonts w:ascii="Times New Roman" w:hAnsi="Times New Roman"/>
          <w:b w:val="0"/>
          <w:i w:val="0"/>
          <w:sz w:val="20"/>
        </w:rPr>
        <w:t>Functional Description: The Rebalancer lets users adjust risk aversion gamma, executing CVXOPT interior-point solvers in sub-second latency to compute KKT-optimal weights.</w:t>
      </w:r>
    </w:p>
    <w:p>
      <w:pPr>
        <w:jc w:val="center"/>
      </w:pPr>
      <w:r>
        <w:drawing>
          <wp:inline xmlns:a="http://schemas.openxmlformats.org/drawingml/2006/main" xmlns:pic="http://schemas.openxmlformats.org/drawingml/2006/picture">
            <wp:extent cx="4754880" cy="2191702"/>
            <wp:docPr id="5" name="Picture 5"/>
            <wp:cNvGraphicFramePr>
              <a:graphicFrameLocks noChangeAspect="1"/>
            </wp:cNvGraphicFramePr>
            <a:graphic>
              <a:graphicData uri="http://schemas.openxmlformats.org/drawingml/2006/picture">
                <pic:pic>
                  <pic:nvPicPr>
                    <pic:cNvPr id="0" name="media_1793034732541_525416d3.png"/>
                    <pic:cNvPicPr/>
                  </pic:nvPicPr>
                  <pic:blipFill>
                    <a:blip r:embed="rId13"/>
                    <a:stretch>
                      <a:fillRect/>
                    </a:stretch>
                  </pic:blipFill>
                  <pic:spPr>
                    <a:xfrm>
                      <a:off x="0" y="0"/>
                      <a:ext cx="4754880" cy="2191702"/>
                    </a:xfrm>
                    <a:prstGeom prst="rect"/>
                  </pic:spPr>
                </pic:pic>
              </a:graphicData>
            </a:graphic>
          </wp:inline>
        </w:drawing>
      </w:r>
    </w:p>
    <w:p>
      <w:pPr>
        <w:spacing w:after="80" w:line="360" w:lineRule="auto"/>
        <w:jc w:val="center"/>
      </w:pPr>
      <w:r>
        <w:rPr>
          <w:rFonts w:ascii="Times New Roman" w:hAnsi="Times New Roman"/>
          <w:b/>
          <w:i w:val="0"/>
          <w:sz w:val="19"/>
        </w:rPr>
        <w:t>Figure 6.3: Analytical Black-Scholes Multi-Greek Volatility Risk Surface</w:t>
      </w:r>
    </w:p>
    <w:p>
      <w:pPr>
        <w:spacing w:after="240" w:line="360" w:lineRule="auto"/>
        <w:jc w:val="both"/>
      </w:pPr>
      <w:r>
        <w:rPr>
          <w:rFonts w:ascii="Times New Roman" w:hAnsi="Times New Roman"/>
          <w:b w:val="0"/>
          <w:i w:val="0"/>
          <w:sz w:val="20"/>
        </w:rPr>
        <w:t>Functional Description: Visualizes 3D derivative sensitivity meshes (Delta, Gamma, Vega, Theta) across option strike prices and maturities.</w:t>
      </w:r>
    </w:p>
    <w:p>
      <w:pPr>
        <w:jc w:val="center"/>
      </w:pPr>
      <w:r>
        <w:drawing>
          <wp:inline xmlns:a="http://schemas.openxmlformats.org/drawingml/2006/main" xmlns:pic="http://schemas.openxmlformats.org/drawingml/2006/picture">
            <wp:extent cx="4754880" cy="2187059"/>
            <wp:docPr id="6" name="Picture 6"/>
            <wp:cNvGraphicFramePr>
              <a:graphicFrameLocks noChangeAspect="1"/>
            </wp:cNvGraphicFramePr>
            <a:graphic>
              <a:graphicData uri="http://schemas.openxmlformats.org/drawingml/2006/picture">
                <pic:pic>
                  <pic:nvPicPr>
                    <pic:cNvPr id="0" name="media_1793034672713_f413a094.png"/>
                    <pic:cNvPicPr/>
                  </pic:nvPicPr>
                  <pic:blipFill>
                    <a:blip r:embed="rId14"/>
                    <a:stretch>
                      <a:fillRect/>
                    </a:stretch>
                  </pic:blipFill>
                  <pic:spPr>
                    <a:xfrm>
                      <a:off x="0" y="0"/>
                      <a:ext cx="4754880" cy="2187059"/>
                    </a:xfrm>
                    <a:prstGeom prst="rect"/>
                  </pic:spPr>
                </pic:pic>
              </a:graphicData>
            </a:graphic>
          </wp:inline>
        </w:drawing>
      </w:r>
    </w:p>
    <w:p>
      <w:pPr>
        <w:spacing w:after="80" w:line="360" w:lineRule="auto"/>
        <w:jc w:val="center"/>
      </w:pPr>
      <w:r>
        <w:rPr>
          <w:rFonts w:ascii="Times New Roman" w:hAnsi="Times New Roman"/>
          <w:b/>
          <w:i w:val="0"/>
          <w:sz w:val="19"/>
        </w:rPr>
        <w:t>Figure 6.4: Unsupervised 3-State Gaussian HMM Market Regime Detection &amp; Dynamic Hedging</w:t>
      </w:r>
    </w:p>
    <w:p>
      <w:pPr>
        <w:spacing w:after="240" w:line="360" w:lineRule="auto"/>
        <w:jc w:val="both"/>
      </w:pPr>
      <w:r>
        <w:rPr>
          <w:rFonts w:ascii="Times New Roman" w:hAnsi="Times New Roman"/>
          <w:b w:val="0"/>
          <w:i w:val="0"/>
          <w:sz w:val="20"/>
        </w:rPr>
        <w:t>Functional Description: Detects macroeconomic volatility regimes, automatically rebalancing 35% into cash reserves during high-volatility crash regimes.</w:t>
      </w:r>
    </w:p>
    <w:p>
      <w:pPr>
        <w:jc w:val="center"/>
      </w:pPr>
      <w:r>
        <w:drawing>
          <wp:inline xmlns:a="http://schemas.openxmlformats.org/drawingml/2006/main" xmlns:pic="http://schemas.openxmlformats.org/drawingml/2006/picture">
            <wp:extent cx="4754880" cy="2200989"/>
            <wp:docPr id="7" name="Picture 7"/>
            <wp:cNvGraphicFramePr>
              <a:graphicFrameLocks noChangeAspect="1"/>
            </wp:cNvGraphicFramePr>
            <a:graphic>
              <a:graphicData uri="http://schemas.openxmlformats.org/drawingml/2006/picture">
                <pic:pic>
                  <pic:nvPicPr>
                    <pic:cNvPr id="0" name="media_1793034639085_7919c39c.png"/>
                    <pic:cNvPicPr/>
                  </pic:nvPicPr>
                  <pic:blipFill>
                    <a:blip r:embed="rId15"/>
                    <a:stretch>
                      <a:fillRect/>
                    </a:stretch>
                  </pic:blipFill>
                  <pic:spPr>
                    <a:xfrm>
                      <a:off x="0" y="0"/>
                      <a:ext cx="4754880" cy="2200989"/>
                    </a:xfrm>
                    <a:prstGeom prst="rect"/>
                  </pic:spPr>
                </pic:pic>
              </a:graphicData>
            </a:graphic>
          </wp:inline>
        </w:drawing>
      </w:r>
    </w:p>
    <w:p>
      <w:pPr>
        <w:spacing w:after="80" w:line="360" w:lineRule="auto"/>
        <w:jc w:val="center"/>
      </w:pPr>
      <w:r>
        <w:rPr>
          <w:rFonts w:ascii="Times New Roman" w:hAnsi="Times New Roman"/>
          <w:b/>
          <w:i w:val="0"/>
          <w:sz w:val="19"/>
        </w:rPr>
        <w:t>Figure 6.5: Stateful Real-Time Paper Trading Execution Cockpit &amp; Audit Ledger</w:t>
      </w:r>
    </w:p>
    <w:p>
      <w:pPr>
        <w:spacing w:after="240" w:line="360" w:lineRule="auto"/>
        <w:jc w:val="both"/>
      </w:pPr>
      <w:r>
        <w:rPr>
          <w:rFonts w:ascii="Times New Roman" w:hAnsi="Times New Roman"/>
          <w:b w:val="0"/>
          <w:i w:val="0"/>
          <w:sz w:val="20"/>
        </w:rPr>
        <w:t>Functional Description: Provides zero-capital order simulation, live portfolio P&amp;L tracking, and transaction history logging.</w:t>
      </w:r>
    </w:p>
    <w:p>
      <w:pPr>
        <w:jc w:val="center"/>
      </w:pPr>
      <w:r>
        <w:drawing>
          <wp:inline xmlns:a="http://schemas.openxmlformats.org/drawingml/2006/main" xmlns:pic="http://schemas.openxmlformats.org/drawingml/2006/picture">
            <wp:extent cx="4754880" cy="2154555"/>
            <wp:docPr id="8" name="Picture 8"/>
            <wp:cNvGraphicFramePr>
              <a:graphicFrameLocks noChangeAspect="1"/>
            </wp:cNvGraphicFramePr>
            <a:graphic>
              <a:graphicData uri="http://schemas.openxmlformats.org/drawingml/2006/picture">
                <pic:pic>
                  <pic:nvPicPr>
                    <pic:cNvPr id="0" name="media_1793034518199_b1583868.png"/>
                    <pic:cNvPicPr/>
                  </pic:nvPicPr>
                  <pic:blipFill>
                    <a:blip r:embed="rId16"/>
                    <a:stretch>
                      <a:fillRect/>
                    </a:stretch>
                  </pic:blipFill>
                  <pic:spPr>
                    <a:xfrm>
                      <a:off x="0" y="0"/>
                      <a:ext cx="4754880" cy="2154555"/>
                    </a:xfrm>
                    <a:prstGeom prst="rect"/>
                  </pic:spPr>
                </pic:pic>
              </a:graphicData>
            </a:graphic>
          </wp:inline>
        </w:drawing>
      </w:r>
    </w:p>
    <w:p>
      <w:pPr>
        <w:spacing w:after="80" w:line="360" w:lineRule="auto"/>
        <w:jc w:val="center"/>
      </w:pPr>
      <w:r>
        <w:rPr>
          <w:rFonts w:ascii="Times New Roman" w:hAnsi="Times New Roman"/>
          <w:b/>
          <w:i w:val="0"/>
          <w:sz w:val="19"/>
        </w:rPr>
        <w:t>Figure 6.6: Multi-Asset Quantitative Portfolio Analytics &amp; Performance Attribution</w:t>
      </w:r>
    </w:p>
    <w:p>
      <w:pPr>
        <w:spacing w:after="240" w:line="360" w:lineRule="auto"/>
        <w:jc w:val="both"/>
      </w:pPr>
      <w:r>
        <w:rPr>
          <w:rFonts w:ascii="Times New Roman" w:hAnsi="Times New Roman"/>
          <w:b w:val="0"/>
          <w:i w:val="0"/>
          <w:sz w:val="20"/>
        </w:rPr>
        <w:t>Functional Description: Aggregates total asset distribution, tracking NAV, Sharpe ratio, drawdown, and factor exposures.</w:t>
      </w:r>
    </w:p>
    <w:p>
      <w:r>
        <w:br w:type="page"/>
      </w:r>
    </w:p>
    <w:p>
      <w:pPr>
        <w:keepNext/>
        <w:spacing w:before="280" w:after="120"/>
      </w:pPr>
      <w:r>
        <w:rPr>
          <w:rFonts w:ascii="Times New Roman" w:hAnsi="Times New Roman"/>
          <w:b/>
          <w:sz w:val="28"/>
        </w:rPr>
        <w:t>CHAPTER 7: CONCLUSION &amp; FUTURE SCOPE</w:t>
      </w:r>
    </w:p>
    <w:p>
      <w:pPr>
        <w:keepNext/>
        <w:spacing w:before="200" w:after="80"/>
      </w:pPr>
      <w:r>
        <w:rPr>
          <w:rFonts w:ascii="Times New Roman" w:hAnsi="Times New Roman"/>
          <w:b/>
          <w:sz w:val="24"/>
        </w:rPr>
        <w:t>7.1 Summary of Contributions</w:t>
      </w:r>
    </w:p>
    <w:p>
      <w:pPr>
        <w:spacing w:after="120" w:line="360" w:lineRule="auto"/>
        <w:jc w:val="both"/>
      </w:pPr>
      <w:r>
        <w:rPr>
          <w:rFonts w:ascii="Times New Roman" w:hAnsi="Times New Roman"/>
          <w:b w:val="0"/>
          <w:i w:val="0"/>
          <w:sz w:val="22"/>
        </w:rPr>
        <w:t>SparsioQ successfully bridges the institutional-retail technology divide by delivering an institutional-grade mathematical engine combining L1-regularized convex optimization, 3-state HMM regime detection, and quantum risk acceleration in an accessible cloud platform.</w:t>
      </w:r>
    </w:p>
    <w:p>
      <w:pPr>
        <w:keepNext/>
        <w:spacing w:before="200" w:after="80"/>
      </w:pPr>
      <w:r>
        <w:rPr>
          <w:rFonts w:ascii="Times New Roman" w:hAnsi="Times New Roman"/>
          <w:b/>
          <w:sz w:val="24"/>
        </w:rPr>
        <w:t>7.2 Future Scope</w:t>
      </w:r>
    </w:p>
    <w:p>
      <w:pPr>
        <w:spacing w:after="120" w:line="360" w:lineRule="auto"/>
        <w:jc w:val="both"/>
      </w:pPr>
      <w:r>
        <w:rPr>
          <w:rFonts w:ascii="Times New Roman" w:hAnsi="Times New Roman"/>
          <w:b w:val="0"/>
          <w:i w:val="0"/>
          <w:sz w:val="22"/>
        </w:rPr>
        <w:t>Future enhancements include direct retail broker FIX API order routing, multimodal alternative data ingestion, and physical IBM Quantum superconducting processor execution.</w:t>
      </w:r>
    </w:p>
    <w:p>
      <w:r>
        <w:br w:type="page"/>
      </w:r>
    </w:p>
    <w:p>
      <w:pPr>
        <w:keepNext/>
        <w:spacing w:before="280" w:after="120"/>
      </w:pPr>
      <w:r>
        <w:rPr>
          <w:rFonts w:ascii="Times New Roman" w:hAnsi="Times New Roman"/>
          <w:b/>
          <w:sz w:val="28"/>
        </w:rPr>
        <w:t>REFERENCES</w:t>
      </w:r>
    </w:p>
    <w:p>
      <w:pPr>
        <w:spacing w:after="80" w:line="360" w:lineRule="auto"/>
        <w:jc w:val="both"/>
      </w:pPr>
      <w:r>
        <w:rPr>
          <w:rFonts w:ascii="Times New Roman" w:hAnsi="Times New Roman"/>
          <w:b w:val="0"/>
          <w:i w:val="0"/>
          <w:sz w:val="19"/>
        </w:rPr>
        <w:t>[1] H. Markowitz, 'Portfolio Selection,' The Journal of Finance, vol. 7, no. 1, pp. 77-91, 1952.</w:t>
      </w:r>
    </w:p>
    <w:p>
      <w:pPr>
        <w:spacing w:after="80" w:line="360" w:lineRule="auto"/>
        <w:jc w:val="both"/>
      </w:pPr>
      <w:r>
        <w:rPr>
          <w:rFonts w:ascii="Times New Roman" w:hAnsi="Times New Roman"/>
          <w:b w:val="0"/>
          <w:i w:val="0"/>
          <w:sz w:val="19"/>
        </w:rPr>
        <w:t>[2] S. Boyd and L. Vandenberghe, Convex Optimization. Cambridge University Press, 2004.</w:t>
      </w:r>
    </w:p>
    <w:p>
      <w:pPr>
        <w:spacing w:after="80" w:line="360" w:lineRule="auto"/>
        <w:jc w:val="both"/>
      </w:pPr>
      <w:r>
        <w:rPr>
          <w:rFonts w:ascii="Times New Roman" w:hAnsi="Times New Roman"/>
          <w:b w:val="0"/>
          <w:i w:val="0"/>
          <w:sz w:val="19"/>
        </w:rPr>
        <w:t>[3] M. S. Andersen, J. Dahl, and L. Vandenberghe, 'CVXOPT: A Python package for convex optimization,' 2024.</w:t>
      </w:r>
    </w:p>
    <w:p>
      <w:pPr>
        <w:spacing w:after="80" w:line="360" w:lineRule="auto"/>
        <w:jc w:val="both"/>
      </w:pPr>
      <w:r>
        <w:rPr>
          <w:rFonts w:ascii="Times New Roman" w:hAnsi="Times New Roman"/>
          <w:b w:val="0"/>
          <w:i w:val="0"/>
          <w:sz w:val="19"/>
        </w:rPr>
        <w:t>[4] L. R. Rabiner, 'A tutorial on hidden Markov models,' Proc. IEEE, vol. 77, pp. 257-286, 1989.</w:t>
      </w:r>
    </w:p>
    <w:p>
      <w:pPr>
        <w:spacing w:after="80" w:line="360" w:lineRule="auto"/>
        <w:jc w:val="both"/>
      </w:pPr>
      <w:r>
        <w:rPr>
          <w:rFonts w:ascii="Times New Roman" w:hAnsi="Times New Roman"/>
          <w:b w:val="0"/>
          <w:i w:val="0"/>
          <w:sz w:val="19"/>
        </w:rPr>
        <w:t>[5] G. Brassard et al., 'Quantum amplitude amplification and estimation,' Contemporary Mathematics, 2002.</w:t>
      </w:r>
    </w:p>
    <w:p>
      <w:pPr>
        <w:spacing w:after="80" w:line="360" w:lineRule="auto"/>
        <w:jc w:val="both"/>
      </w:pPr>
      <w:r>
        <w:rPr>
          <w:rFonts w:ascii="Times New Roman" w:hAnsi="Times New Roman"/>
          <w:b w:val="0"/>
          <w:i w:val="0"/>
          <w:sz w:val="19"/>
        </w:rPr>
        <w:t>[6] F. Black and M. Scholes, 'The Pricing of Options and Corporate Liabilities,' J. Polit. Econ., 1973.</w:t>
      </w:r>
    </w:p>
    <w:p>
      <w:pPr>
        <w:spacing w:after="80" w:line="360" w:lineRule="auto"/>
        <w:jc w:val="both"/>
      </w:pPr>
      <w:r>
        <w:rPr>
          <w:rFonts w:ascii="Times New Roman" w:hAnsi="Times New Roman"/>
          <w:b w:val="0"/>
          <w:i w:val="0"/>
          <w:sz w:val="19"/>
        </w:rPr>
        <w:t>[7] L. De Lathauwer et al., 'A multilinear singular value decomposition,' SIAM J. Matrix Anal., 2000.</w:t>
      </w:r>
    </w:p>
    <w:p>
      <w:pPr>
        <w:spacing w:after="80" w:line="360" w:lineRule="auto"/>
        <w:jc w:val="both"/>
      </w:pPr>
      <w:r>
        <w:rPr>
          <w:rFonts w:ascii="Times New Roman" w:hAnsi="Times New Roman"/>
          <w:b w:val="0"/>
          <w:i w:val="0"/>
          <w:sz w:val="19"/>
        </w:rPr>
        <w:t>[8] R. Tibshirani, 'Regression shrinkage and selection via the lasso,' JRSS-B, 1996.</w:t>
      </w:r>
    </w:p>
    <w:p>
      <w:pPr>
        <w:spacing w:after="80" w:line="360" w:lineRule="auto"/>
        <w:jc w:val="both"/>
      </w:pPr>
      <w:r>
        <w:rPr>
          <w:rFonts w:ascii="Times New Roman" w:hAnsi="Times New Roman"/>
          <w:b w:val="0"/>
          <w:i w:val="0"/>
          <w:sz w:val="19"/>
        </w:rPr>
        <w:t>[9] R. F. Engle, 'Autoregressive conditional heteroscedasticity,' Econometrica, 1982.</w:t>
      </w:r>
    </w:p>
    <w:p>
      <w:pPr>
        <w:spacing w:after="80" w:line="360" w:lineRule="auto"/>
        <w:jc w:val="both"/>
      </w:pPr>
      <w:r>
        <w:rPr>
          <w:rFonts w:ascii="Times New Roman" w:hAnsi="Times New Roman"/>
          <w:b w:val="0"/>
          <w:i w:val="0"/>
          <w:sz w:val="19"/>
        </w:rPr>
        <w:t>[10] Securities and Exchange Board of India (SEBI), 'Study on Retail Traders in Equity F&amp;O,' 2024.</w:t>
      </w:r>
    </w:p>
    <w:p>
      <w:pPr>
        <w:spacing w:after="80" w:line="360" w:lineRule="auto"/>
        <w:jc w:val="both"/>
      </w:pPr>
      <w:r>
        <w:rPr>
          <w:rFonts w:ascii="Times New Roman" w:hAnsi="Times New Roman"/>
          <w:b w:val="0"/>
          <w:i w:val="0"/>
          <w:sz w:val="19"/>
        </w:rPr>
        <w:t>[11] Qiskit Community, 'Qiskit: An Open-source Framework for Quantum Computing,' 2024.</w:t>
      </w:r>
    </w:p>
    <w:p>
      <w:pPr>
        <w:spacing w:after="80" w:line="360" w:lineRule="auto"/>
        <w:jc w:val="both"/>
      </w:pPr>
      <w:r>
        <w:rPr>
          <w:rFonts w:ascii="Times New Roman" w:hAnsi="Times New Roman"/>
          <w:b w:val="0"/>
          <w:i w:val="0"/>
          <w:sz w:val="19"/>
        </w:rPr>
        <w:t>[12] J. K. Kokolakis et al., 'Multilinear algebra in portfolio risk modeling,' IEEE Trans. Signal Process., 2020.</w:t>
      </w:r>
    </w:p>
    <w:sectPr w:rsidR="00FC693F" w:rsidRPr="0006063C" w:rsidSect="00034616">
      <w:headerReference w:type="default" r:id="rId9"/>
      <w:pgSz w:w="12240" w:h="15840"/>
      <w:pgMar w:top="1987" w:right="1699" w:bottom="1699" w:left="22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SPARSIOQ: QUANTITATIVE WEALTH &amp; PORTFOLIO OPTIMIZATION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