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 w:line="269" w:lineRule="auto"/>
        <w:jc w:val="center"/>
      </w:pPr>
      <w:r>
        <w:rPr>
          <w:rFonts w:ascii="Times New Roman" w:hAnsi="Times New Roman"/>
          <w:b/>
          <w:i w:val="0"/>
          <w:color w:val="0F2A4A"/>
          <w:sz w:val="28"/>
        </w:rPr>
        <w:t>Amrita Vishwa Vidyapeetham, Coimbatore</w:t>
      </w:r>
    </w:p>
    <w:p>
      <w:pPr>
        <w:spacing w:before="0" w:after="200" w:line="269" w:lineRule="auto"/>
        <w:jc w:val="center"/>
      </w:pPr>
      <w:r>
        <w:rPr>
          <w:rFonts w:ascii="Times New Roman" w:hAnsi="Times New Roman"/>
          <w:b/>
          <w:i w:val="0"/>
          <w:color w:val="505A69"/>
          <w:sz w:val="19"/>
        </w:rPr>
        <w:t>DEPARTMENT OF ARTIFICIAL INTELLIGENCE  |  SCHOOL OF COMPUTING</w:t>
      </w:r>
    </w:p>
    <w:p>
      <w:pPr>
        <w:spacing w:after="200"/>
        <w:jc w:val="center"/>
      </w:pPr>
      <w:r>
        <w:drawing>
          <wp:inline xmlns:a="http://schemas.openxmlformats.org/drawingml/2006/main" xmlns:pic="http://schemas.openxmlformats.org/drawingml/2006/picture">
            <wp:extent cx="1463040" cy="324326"/>
            <wp:docPr id="1" name="Picture 1"/>
            <wp:cNvGraphicFramePr>
              <a:graphicFrameLocks noChangeAspect="1"/>
            </wp:cNvGraphicFramePr>
            <a:graphic>
              <a:graphicData uri="http://schemas.openxmlformats.org/drawingml/2006/picture">
                <pic:pic>
                  <pic:nvPicPr>
                    <pic:cNvPr id="0" name="amrita_logo_official.png"/>
                    <pic:cNvPicPr/>
                  </pic:nvPicPr>
                  <pic:blipFill>
                    <a:blip r:embed="rId11"/>
                    <a:stretch>
                      <a:fillRect/>
                    </a:stretch>
                  </pic:blipFill>
                  <pic:spPr>
                    <a:xfrm>
                      <a:off x="0" y="0"/>
                      <a:ext cx="1463040" cy="324326"/>
                    </a:xfrm>
                    <a:prstGeom prst="rect"/>
                  </pic:spPr>
                </pic:pic>
              </a:graphicData>
            </a:graphic>
          </wp:inline>
        </w:drawing>
      </w:r>
    </w:p>
    <w:p>
      <w:pPr>
        <w:spacing w:before="0" w:after="40" w:line="269" w:lineRule="auto"/>
        <w:jc w:val="center"/>
      </w:pPr>
      <w:r>
        <w:rPr>
          <w:rFonts w:ascii="Times New Roman" w:hAnsi="Times New Roman"/>
          <w:b/>
          <w:i w:val="0"/>
          <w:color w:val="A32A2A"/>
          <w:sz w:val="19"/>
        </w:rPr>
        <w:t>A  P R O J E C T  R E P O R T  O N</w:t>
      </w:r>
    </w:p>
    <w:p>
      <w:pPr>
        <w:spacing w:before="0" w:after="60" w:line="269" w:lineRule="auto"/>
        <w:jc w:val="center"/>
      </w:pPr>
      <w:r>
        <w:rPr>
          <w:rFonts w:ascii="Times New Roman" w:hAnsi="Times New Roman"/>
          <w:b/>
          <w:i w:val="0"/>
          <w:color w:val="0F2A4A"/>
          <w:sz w:val="34"/>
        </w:rPr>
        <w:t>SPARSIOQ</w:t>
      </w:r>
    </w:p>
    <w:p>
      <w:pPr>
        <w:spacing w:before="0" w:after="160" w:line="269" w:lineRule="auto"/>
        <w:jc w:val="center"/>
      </w:pPr>
      <w:r>
        <w:rPr>
          <w:rFonts w:ascii="Times New Roman" w:hAnsi="Times New Roman"/>
          <w:b w:val="0"/>
          <w:i/>
          <w:color w:val="505A69"/>
          <w:sz w:val="19"/>
        </w:rPr>
        <w:t>Sparse Convex Optimization, Regime-Switching Hidden Markov Models, and Quantum Amplitude Estimation for Portfolio Construction across 25 NSE Blue-Chip Stocks</w:t>
      </w:r>
    </w:p>
    <w:p>
      <w:pPr>
        <w:spacing w:before="0" w:after="20" w:line="269" w:lineRule="auto"/>
        <w:jc w:val="center"/>
      </w:pPr>
      <w:r>
        <w:rPr>
          <w:rFonts w:ascii="Times New Roman" w:hAnsi="Times New Roman"/>
          <w:b/>
          <w:i w:val="0"/>
          <w:color w:val="0F2A4A"/>
          <w:sz w:val="21"/>
        </w:rPr>
        <w:t>Course: 24MAT204 / 23MAT204 - Mathematics for Intelligent Systems 3</w:t>
      </w:r>
    </w:p>
    <w:p>
      <w:pPr>
        <w:spacing w:before="0" w:after="240" w:line="269" w:lineRule="auto"/>
        <w:jc w:val="center"/>
      </w:pPr>
      <w:r>
        <w:rPr>
          <w:rFonts w:ascii="Times New Roman" w:hAnsi="Times New Roman"/>
          <w:b/>
          <w:i w:val="0"/>
          <w:color w:val="A32A2A"/>
          <w:sz w:val="19"/>
        </w:rPr>
        <w:t>End-Semester Project Report  |  Academic Year 2025-2026</w:t>
      </w:r>
    </w:p>
    <w:p>
      <w:pPr>
        <w:spacing w:before="0" w:after="80" w:line="269" w:lineRule="auto"/>
        <w:jc w:val="center"/>
      </w:pPr>
      <w:r>
        <w:rPr>
          <w:rFonts w:ascii="Times New Roman" w:hAnsi="Times New Roman"/>
          <w:b/>
          <w:i w:val="0"/>
          <w:color w:val="A32A2A"/>
          <w:sz w:val="19"/>
        </w:rPr>
        <w:t>S U B M I T T E D  B Y</w:t>
      </w:r>
    </w:p>
    <w:tbl>
      <w:tblPr>
        <w:tblW w:type="auto" w:w="0"/>
        <w:jc w:val="center"/>
        <w:tblLook w:firstColumn="1" w:firstRow="1" w:lastColumn="0" w:lastRow="0" w:noHBand="0" w:noVBand="1" w:val="04A0"/>
      </w:tblPr>
      <w:tblGrid>
        <w:gridCol w:w="3490"/>
        <w:gridCol w:w="3490"/>
        <w:gridCol w:w="3490"/>
      </w:tblGrid>
      <w:tr>
        <w:tc>
          <w:tcPr>
            <w:tcW w:type="dxa" w:w="3490"/>
          </w:tcPr>
          <w:p>
            <w:r>
              <w:rPr>
                <w:b/>
                <w:color w:val="0F2A4A"/>
                <w:sz w:val="17"/>
              </w:rPr>
              <w:t>Student Name</w:t>
            </w:r>
          </w:p>
        </w:tc>
        <w:tc>
          <w:tcPr>
            <w:tcW w:type="dxa" w:w="3490"/>
          </w:tcPr>
          <w:p>
            <w:r>
              <w:rPr>
                <w:b/>
                <w:color w:val="0F2A4A"/>
                <w:sz w:val="17"/>
              </w:rPr>
              <w:t>Roll Number</w:t>
            </w:r>
          </w:p>
        </w:tc>
        <w:tc>
          <w:tcPr>
            <w:tcW w:type="dxa" w:w="3490"/>
          </w:tcPr>
          <w:p>
            <w:r>
              <w:rPr>
                <w:b/>
                <w:color w:val="0F2A4A"/>
                <w:sz w:val="17"/>
              </w:rPr>
              <w:t>Degree &amp; Specialization</w:t>
            </w:r>
          </w:p>
        </w:tc>
      </w:tr>
      <w:tr>
        <w:tc>
          <w:tcPr>
            <w:tcW w:type="dxa" w:w="3490"/>
          </w:tcPr>
          <w:p>
            <w:r>
              <w:rPr>
                <w:b/>
                <w:color w:val="1E232A"/>
                <w:sz w:val="16"/>
              </w:rPr>
              <w:t>Mhalsa Padmakumar</w:t>
            </w:r>
          </w:p>
        </w:tc>
        <w:tc>
          <w:tcPr>
            <w:tcW w:type="dxa" w:w="3490"/>
          </w:tcPr>
          <w:p>
            <w:r>
              <w:rPr>
                <w:color w:val="1E232A"/>
                <w:sz w:val="16"/>
              </w:rPr>
              <w:t>CB.AI.U4AIM25052</w:t>
            </w:r>
          </w:p>
        </w:tc>
        <w:tc>
          <w:tcPr>
            <w:tcW w:type="dxa" w:w="3490"/>
          </w:tcPr>
          <w:p>
            <w:r>
              <w:rPr>
                <w:color w:val="1E232A"/>
                <w:sz w:val="16"/>
              </w:rPr>
              <w:t>B.Tech Artificial Intelligence (Group 11)</w:t>
            </w:r>
          </w:p>
        </w:tc>
      </w:tr>
      <w:tr>
        <w:tc>
          <w:tcPr>
            <w:tcW w:type="dxa" w:w="3490"/>
          </w:tcPr>
          <w:p>
            <w:r>
              <w:rPr>
                <w:b/>
                <w:color w:val="1E232A"/>
                <w:sz w:val="16"/>
              </w:rPr>
              <w:t>Shiza CKV</w:t>
            </w:r>
          </w:p>
        </w:tc>
        <w:tc>
          <w:tcPr>
            <w:tcW w:type="dxa" w:w="3490"/>
          </w:tcPr>
          <w:p>
            <w:r>
              <w:rPr>
                <w:color w:val="1E232A"/>
                <w:sz w:val="16"/>
              </w:rPr>
              <w:t>CB.AI.U4AIM25037</w:t>
            </w:r>
          </w:p>
        </w:tc>
        <w:tc>
          <w:tcPr>
            <w:tcW w:type="dxa" w:w="3490"/>
          </w:tcPr>
          <w:p>
            <w:r>
              <w:rPr>
                <w:color w:val="1E232A"/>
                <w:sz w:val="16"/>
              </w:rPr>
              <w:t>B.Tech Artificial Intelligence (Group 11)</w:t>
            </w:r>
          </w:p>
        </w:tc>
      </w:tr>
      <w:tr>
        <w:tc>
          <w:tcPr>
            <w:tcW w:type="dxa" w:w="3490"/>
          </w:tcPr>
          <w:p>
            <w:r>
              <w:rPr>
                <w:b/>
                <w:color w:val="1E232A"/>
                <w:sz w:val="16"/>
              </w:rPr>
              <w:t>Anwaika Sanvi</w:t>
            </w:r>
          </w:p>
        </w:tc>
        <w:tc>
          <w:tcPr>
            <w:tcW w:type="dxa" w:w="3490"/>
          </w:tcPr>
          <w:p>
            <w:r>
              <w:rPr>
                <w:color w:val="1E232A"/>
                <w:sz w:val="16"/>
              </w:rPr>
              <w:t>CB.AI.U4AIM25044</w:t>
            </w:r>
          </w:p>
        </w:tc>
        <w:tc>
          <w:tcPr>
            <w:tcW w:type="dxa" w:w="3490"/>
          </w:tcPr>
          <w:p>
            <w:r>
              <w:rPr>
                <w:color w:val="1E232A"/>
                <w:sz w:val="16"/>
              </w:rPr>
              <w:t>B.Tech Artificial Intelligence (Group 11)</w:t>
            </w:r>
          </w:p>
        </w:tc>
      </w:tr>
      <w:tr>
        <w:tc>
          <w:tcPr>
            <w:tcW w:type="dxa" w:w="3490"/>
          </w:tcPr>
          <w:p>
            <w:r>
              <w:rPr>
                <w:b/>
                <w:color w:val="1E232A"/>
                <w:sz w:val="16"/>
              </w:rPr>
              <w:t>Joshika</w:t>
            </w:r>
          </w:p>
        </w:tc>
        <w:tc>
          <w:tcPr>
            <w:tcW w:type="dxa" w:w="3490"/>
          </w:tcPr>
          <w:p>
            <w:r>
              <w:rPr>
                <w:color w:val="1E232A"/>
                <w:sz w:val="16"/>
              </w:rPr>
              <w:t>CB.AI.U4AIM25014</w:t>
            </w:r>
          </w:p>
        </w:tc>
        <w:tc>
          <w:tcPr>
            <w:tcW w:type="dxa" w:w="3490"/>
          </w:tcPr>
          <w:p>
            <w:r>
              <w:rPr>
                <w:color w:val="1E232A"/>
                <w:sz w:val="16"/>
              </w:rPr>
              <w:t>B.Tech Artificial Intelligence (Group 11)</w:t>
            </w:r>
          </w:p>
        </w:tc>
      </w:tr>
    </w:tbl>
    <w:p>
      <w:pPr>
        <w:spacing w:before="300" w:after="60" w:line="269" w:lineRule="auto"/>
        <w:jc w:val="left"/>
      </w:pPr>
      <w:r>
        <w:rPr>
          <w:rFonts w:ascii="Times New Roman" w:hAnsi="Times New Roman"/>
          <w:b w:val="0"/>
          <w:i w:val="0"/>
          <w:color w:val="1E232A"/>
          <w:sz w:val="17"/>
        </w:rPr>
      </w:r>
    </w:p>
    <w:p>
      <w:pPr>
        <w:spacing w:before="0" w:after="20" w:line="269" w:lineRule="auto"/>
        <w:jc w:val="center"/>
      </w:pPr>
      <w:r>
        <w:rPr>
          <w:rFonts w:ascii="Times New Roman" w:hAnsi="Times New Roman"/>
          <w:b w:val="0"/>
          <w:i w:val="0"/>
          <w:color w:val="505A69"/>
          <w:sz w:val="18"/>
        </w:rPr>
        <w:t>Under the Guidance of</w:t>
      </w:r>
    </w:p>
    <w:p>
      <w:pPr>
        <w:spacing w:before="0" w:after="20" w:line="269" w:lineRule="auto"/>
        <w:jc w:val="center"/>
      </w:pPr>
      <w:r>
        <w:rPr>
          <w:rFonts w:ascii="Times New Roman" w:hAnsi="Times New Roman"/>
          <w:b/>
          <w:i w:val="0"/>
          <w:color w:val="0F2A4A"/>
          <w:sz w:val="23"/>
        </w:rPr>
        <w:t>Dr. Divya C</w:t>
      </w:r>
    </w:p>
    <w:p>
      <w:pPr>
        <w:spacing w:before="0" w:after="280" w:line="269" w:lineRule="auto"/>
        <w:jc w:val="center"/>
      </w:pPr>
      <w:r>
        <w:rPr>
          <w:rFonts w:ascii="Times New Roman" w:hAnsi="Times New Roman"/>
          <w:b w:val="0"/>
          <w:i/>
          <w:color w:val="505A69"/>
          <w:sz w:val="18"/>
        </w:rPr>
        <w:t>Department of Artificial Intelligence, Amrita Vishwa Vidyapeetham, Coimbatore</w:t>
      </w:r>
    </w:p>
    <w:p>
      <w:pPr>
        <w:spacing w:before="0" w:after="20" w:line="269" w:lineRule="auto"/>
        <w:jc w:val="center"/>
      </w:pPr>
      <w:r>
        <w:rPr>
          <w:rFonts w:ascii="Times New Roman" w:hAnsi="Times New Roman"/>
          <w:b/>
          <w:i w:val="0"/>
          <w:color w:val="505A69"/>
          <w:sz w:val="17"/>
        </w:rPr>
        <w:t>October 2026  |  Coimbatore Campus, Tamil Nadu, India</w:t>
      </w:r>
    </w:p>
    <w:p>
      <w:pPr>
        <w:spacing w:before="0" w:after="60" w:line="269" w:lineRule="auto"/>
        <w:jc w:val="center"/>
      </w:pPr>
      <w:r>
        <w:rPr>
          <w:rFonts w:ascii="Times New Roman" w:hAnsi="Times New Roman"/>
          <w:b w:val="0"/>
          <w:i w:val="0"/>
          <w:color w:val="335C8D"/>
          <w:sz w:val="16"/>
        </w:rPr>
        <w:t>Live Platform: https://sparsioq-platform.streamlit.app  |  GitHub: https://github.com/mhalsa-aine/SparsioQ-Platform.git</w:t>
      </w:r>
    </w:p>
    <w:p>
      <w:r>
        <w:br w:type="page"/>
      </w:r>
    </w:p>
    <w:p>
      <w:pPr>
        <w:spacing w:before="100" w:after="40" w:line="269" w:lineRule="auto"/>
        <w:jc w:val="left"/>
      </w:pPr>
      <w:r>
        <w:rPr>
          <w:rFonts w:ascii="Times New Roman" w:hAnsi="Times New Roman"/>
          <w:b/>
          <w:i w:val="0"/>
          <w:color w:val="0F2A4A"/>
          <w:sz w:val="22"/>
        </w:rPr>
        <w:t>Abstract</w:t>
      </w:r>
    </w:p>
    <w:p>
      <w:pPr>
        <w:spacing w:before="0" w:after="60" w:line="269" w:lineRule="auto"/>
        <w:jc w:val="left"/>
      </w:pPr>
      <w:r>
        <w:rPr>
          <w:rFonts w:ascii="Times New Roman" w:hAnsi="Times New Roman"/>
          <w:b w:val="0"/>
          <w:i w:val="0"/>
          <w:color w:val="1E232A"/>
          <w:sz w:val="17"/>
        </w:rPr>
        <w:t>Modern retail investment environments suffer from a severe structural disconnect: while electronic brokerages expose individual investors to high-dimensional asset universes and speculative derivative contracts, retail participants lack the mathematical optimization frameworks and non-stationary risk engines deployed by institutional quantitative desks. Consequently, retail portfolios exhibit severe transaction fee drain, unhedged downside tail risk, and catastrophic drawdowns during market regime shifts. In this project, we engineer and validate SparsioQ, an autonomous quantitative wealth management system formulated around three rigorous mathematical paradigms: (1) Sparse Convex Quadratic Programming via L1-regularized Markowitz optimization solved with Primal-Dual Interior-Point methods (CVXOPT), automatically driving non-essential allocations to zero and eliminating portfolio turnover drag; (2) Continuous-Time Market Regime Identification using a 3-State Gaussian Hidden Markov Model (HMM) fitted with the Expectation-Maximization Baum-Welch algorithm to dynamically adjust risk-on equity exposure and cash reserves; and (3) Quantum Amplitude Estimation (QAE) providing a quadratic speedup of order O(1/epsilon) over classical Monte Carlo methods for real-time Value-at-Risk (VaR) estimation.</w:t>
      </w:r>
    </w:p>
    <w:p>
      <w:pPr>
        <w:spacing w:before="0" w:after="60" w:line="269" w:lineRule="auto"/>
        <w:jc w:val="left"/>
      </w:pPr>
      <w:r>
        <w:rPr>
          <w:rFonts w:ascii="Times New Roman" w:hAnsi="Times New Roman"/>
          <w:b w:val="0"/>
          <w:i w:val="0"/>
          <w:color w:val="1E232A"/>
          <w:sz w:val="17"/>
        </w:rPr>
        <w:t>Backtested across 3,889 trading days (January 2011 to October 2026) across 25 large-cap National Stock Exchange (NSE) blue-chip equities, SparsioQ's L1-penalized portfolio concentrates capital into exactly 6 high-conviction assets, cutting turnover transaction fees by 64% while delivering an annualized Sharpe ratio of 2.34 and suppressing maximum drawdown from -21.4% (NIFTY 50 benchmark) to -6.8%. Cross-asset latent factors are extracted using 3D Tensor Tucker Decomposition (Higher-Order SVD). All mathematical artifacts are translated into plain-language actionable insights via an integrated multimodal reasoning co-pilot. The complete architecture is deployed as a zero-latency interactive cloud application with real-time streaming market data and automated paper execution.</w:t>
      </w:r>
    </w:p>
    <w:p>
      <w:pPr>
        <w:spacing w:before="0" w:after="120" w:line="269" w:lineRule="auto"/>
        <w:jc w:val="left"/>
      </w:pPr>
      <w:r>
        <w:rPr>
          <w:rFonts w:ascii="Times New Roman" w:hAnsi="Times New Roman"/>
          <w:b w:val="0"/>
          <w:i/>
          <w:color w:val="505A69"/>
          <w:sz w:val="16"/>
        </w:rPr>
        <w:t>Keywords: Sparse Convex Optimization, L1 Regularization, CVXOPT Interior-Point Solver, Hidden Markov Models, Baum-Welch Algorithm, Quantum Amplitude Estimation, Tucker Decomposition, NIFTY 50.</w:t>
      </w:r>
    </w:p>
    <w:p>
      <w:pPr>
        <w:spacing w:before="100" w:after="40" w:line="269" w:lineRule="auto"/>
        <w:jc w:val="left"/>
      </w:pPr>
      <w:r>
        <w:rPr>
          <w:rFonts w:ascii="Times New Roman" w:hAnsi="Times New Roman"/>
          <w:b/>
          <w:i w:val="0"/>
          <w:color w:val="0F2A4A"/>
          <w:sz w:val="22"/>
        </w:rPr>
        <w:t>Table of Contents</w:t>
      </w:r>
    </w:p>
    <w:tbl>
      <w:tblPr>
        <w:tblW w:type="auto" w:w="0"/>
        <w:jc w:val="center"/>
        <w:tblLook w:firstColumn="1" w:firstRow="1" w:lastColumn="0" w:lastRow="0" w:noHBand="0" w:noVBand="1" w:val="04A0"/>
      </w:tblPr>
      <w:tblGrid>
        <w:gridCol w:w="5234"/>
        <w:gridCol w:w="5234"/>
      </w:tblGrid>
      <w:tr>
        <w:tc>
          <w:tcPr>
            <w:tcW w:type="dxa" w:w="5234"/>
          </w:tcPr>
          <w:p>
            <w:r>
              <w:rPr>
                <w:b/>
                <w:sz w:val="16"/>
              </w:rPr>
              <w:t>1.  Introduction and Motivation</w:t>
            </w:r>
          </w:p>
        </w:tc>
        <w:tc>
          <w:tcPr>
            <w:tcW w:type="dxa" w:w="5234"/>
          </w:tcPr>
          <w:p>
            <w:pPr>
              <w:jc w:val="right"/>
            </w:pPr>
            <w:r>
              <w:rPr>
                <w:b/>
                <w:color w:val="0F2A4A"/>
                <w:sz w:val="16"/>
              </w:rPr>
              <w:t>Page 3</w:t>
            </w:r>
          </w:p>
        </w:tc>
      </w:tr>
      <w:tr>
        <w:tc>
          <w:tcPr>
            <w:tcW w:type="dxa" w:w="5234"/>
          </w:tcPr>
          <w:p>
            <w:r>
              <w:rPr>
                <w:b/>
                <w:sz w:val="16"/>
              </w:rPr>
              <w:t>2.  Problem Statement</w:t>
            </w:r>
          </w:p>
        </w:tc>
        <w:tc>
          <w:tcPr>
            <w:tcW w:type="dxa" w:w="5234"/>
          </w:tcPr>
          <w:p>
            <w:pPr>
              <w:jc w:val="right"/>
            </w:pPr>
            <w:r>
              <w:rPr>
                <w:b/>
                <w:color w:val="0F2A4A"/>
                <w:sz w:val="16"/>
              </w:rPr>
              <w:t>Page 3</w:t>
            </w:r>
          </w:p>
        </w:tc>
      </w:tr>
      <w:tr>
        <w:tc>
          <w:tcPr>
            <w:tcW w:type="dxa" w:w="5234"/>
          </w:tcPr>
          <w:p>
            <w:r>
              <w:rPr>
                <w:b/>
                <w:sz w:val="16"/>
              </w:rPr>
              <w:t>3.  Project Objectives and Core Deliverables</w:t>
            </w:r>
          </w:p>
        </w:tc>
        <w:tc>
          <w:tcPr>
            <w:tcW w:type="dxa" w:w="5234"/>
          </w:tcPr>
          <w:p>
            <w:pPr>
              <w:jc w:val="right"/>
            </w:pPr>
            <w:r>
              <w:rPr>
                <w:b/>
                <w:color w:val="0F2A4A"/>
                <w:sz w:val="16"/>
              </w:rPr>
              <w:t>Page 3</w:t>
            </w:r>
          </w:p>
        </w:tc>
      </w:tr>
      <w:tr>
        <w:tc>
          <w:tcPr>
            <w:tcW w:type="dxa" w:w="5234"/>
          </w:tcPr>
          <w:p>
            <w:r>
              <w:rPr>
                <w:b/>
                <w:sz w:val="16"/>
              </w:rPr>
              <w:t>4.  Literature Review &amp; Existing Systems Comparison</w:t>
            </w:r>
          </w:p>
        </w:tc>
        <w:tc>
          <w:tcPr>
            <w:tcW w:type="dxa" w:w="5234"/>
          </w:tcPr>
          <w:p>
            <w:pPr>
              <w:jc w:val="right"/>
            </w:pPr>
            <w:r>
              <w:rPr>
                <w:b/>
                <w:color w:val="0F2A4A"/>
                <w:sz w:val="16"/>
              </w:rPr>
              <w:t>Page 4</w:t>
            </w:r>
          </w:p>
        </w:tc>
      </w:tr>
      <w:tr>
        <w:tc>
          <w:tcPr>
            <w:tcW w:type="dxa" w:w="5234"/>
          </w:tcPr>
          <w:p>
            <w:r>
              <w:rPr>
                <w:b/>
                <w:sz w:val="16"/>
              </w:rPr>
              <w:t>5.  Mathematical Foundations &amp; Formulations</w:t>
            </w:r>
          </w:p>
        </w:tc>
        <w:tc>
          <w:tcPr>
            <w:tcW w:type="dxa" w:w="5234"/>
          </w:tcPr>
          <w:p>
            <w:pPr>
              <w:jc w:val="right"/>
            </w:pPr>
            <w:r>
              <w:rPr>
                <w:b/>
                <w:color w:val="0F2A4A"/>
                <w:sz w:val="16"/>
              </w:rPr>
              <w:t>Page 5</w:t>
            </w:r>
          </w:p>
        </w:tc>
      </w:tr>
      <w:tr>
        <w:tc>
          <w:tcPr>
            <w:tcW w:type="dxa" w:w="5234"/>
          </w:tcPr>
          <w:p>
            <w:r>
              <w:rPr>
                <w:sz w:val="16"/>
              </w:rPr>
              <w:t xml:space="preserve">     5.1  L1-Regularized Sparse Markowitz Convex Optimization</w:t>
            </w:r>
          </w:p>
        </w:tc>
        <w:tc>
          <w:tcPr>
            <w:tcW w:type="dxa" w:w="5234"/>
          </w:tcPr>
          <w:p>
            <w:pPr>
              <w:jc w:val="right"/>
            </w:pPr>
            <w:r>
              <w:rPr>
                <w:sz w:val="16"/>
              </w:rPr>
              <w:t>Page 5</w:t>
            </w:r>
          </w:p>
        </w:tc>
      </w:tr>
      <w:tr>
        <w:tc>
          <w:tcPr>
            <w:tcW w:type="dxa" w:w="5234"/>
          </w:tcPr>
          <w:p>
            <w:r>
              <w:rPr>
                <w:sz w:val="16"/>
              </w:rPr>
              <w:t xml:space="preserve">     5.2  3-State Gaussian Hidden Markov Model Regime Identification</w:t>
            </w:r>
          </w:p>
        </w:tc>
        <w:tc>
          <w:tcPr>
            <w:tcW w:type="dxa" w:w="5234"/>
          </w:tcPr>
          <w:p>
            <w:pPr>
              <w:jc w:val="right"/>
            </w:pPr>
            <w:r>
              <w:rPr>
                <w:sz w:val="16"/>
              </w:rPr>
              <w:t>Page 5</w:t>
            </w:r>
          </w:p>
        </w:tc>
      </w:tr>
      <w:tr>
        <w:tc>
          <w:tcPr>
            <w:tcW w:type="dxa" w:w="5234"/>
          </w:tcPr>
          <w:p>
            <w:r>
              <w:rPr>
                <w:sz w:val="16"/>
              </w:rPr>
              <w:t xml:space="preserve">     5.3  Analytical Black-Scholes Greeks &amp; Volatility Surface</w:t>
            </w:r>
          </w:p>
        </w:tc>
        <w:tc>
          <w:tcPr>
            <w:tcW w:type="dxa" w:w="5234"/>
          </w:tcPr>
          <w:p>
            <w:pPr>
              <w:jc w:val="right"/>
            </w:pPr>
            <w:r>
              <w:rPr>
                <w:sz w:val="16"/>
              </w:rPr>
              <w:t>Page 6</w:t>
            </w:r>
          </w:p>
        </w:tc>
      </w:tr>
      <w:tr>
        <w:tc>
          <w:tcPr>
            <w:tcW w:type="dxa" w:w="5234"/>
          </w:tcPr>
          <w:p>
            <w:r>
              <w:rPr>
                <w:sz w:val="16"/>
              </w:rPr>
              <w:t xml:space="preserve">     5.4  Quantum Amplitude Estimation (QAE) for Tail Risk</w:t>
            </w:r>
          </w:p>
        </w:tc>
        <w:tc>
          <w:tcPr>
            <w:tcW w:type="dxa" w:w="5234"/>
          </w:tcPr>
          <w:p>
            <w:pPr>
              <w:jc w:val="right"/>
            </w:pPr>
            <w:r>
              <w:rPr>
                <w:sz w:val="16"/>
              </w:rPr>
              <w:t>Page 6</w:t>
            </w:r>
          </w:p>
        </w:tc>
      </w:tr>
      <w:tr>
        <w:tc>
          <w:tcPr>
            <w:tcW w:type="dxa" w:w="5234"/>
          </w:tcPr>
          <w:p>
            <w:r>
              <w:rPr>
                <w:sz w:val="16"/>
              </w:rPr>
              <w:t xml:space="preserve">     5.5  3D Tensor Tucker Decomposition (Higher-Order SVD)</w:t>
            </w:r>
          </w:p>
        </w:tc>
        <w:tc>
          <w:tcPr>
            <w:tcW w:type="dxa" w:w="5234"/>
          </w:tcPr>
          <w:p>
            <w:pPr>
              <w:jc w:val="right"/>
            </w:pPr>
            <w:r>
              <w:rPr>
                <w:sz w:val="16"/>
              </w:rPr>
              <w:t>Page 6</w:t>
            </w:r>
          </w:p>
        </w:tc>
      </w:tr>
      <w:tr>
        <w:tc>
          <w:tcPr>
            <w:tcW w:type="dxa" w:w="5234"/>
          </w:tcPr>
          <w:p>
            <w:r>
              <w:rPr>
                <w:b/>
                <w:sz w:val="16"/>
              </w:rPr>
              <w:t>6.  Methodology &amp; System Architecture</w:t>
            </w:r>
          </w:p>
        </w:tc>
        <w:tc>
          <w:tcPr>
            <w:tcW w:type="dxa" w:w="5234"/>
          </w:tcPr>
          <w:p>
            <w:pPr>
              <w:jc w:val="right"/>
            </w:pPr>
            <w:r>
              <w:rPr>
                <w:b/>
                <w:color w:val="0F2A4A"/>
                <w:sz w:val="16"/>
              </w:rPr>
              <w:t>Page 6</w:t>
            </w:r>
          </w:p>
        </w:tc>
      </w:tr>
      <w:tr>
        <w:tc>
          <w:tcPr>
            <w:tcW w:type="dxa" w:w="5234"/>
          </w:tcPr>
          <w:p>
            <w:r>
              <w:rPr>
                <w:b/>
                <w:sz w:val="16"/>
              </w:rPr>
              <w:t>7.  Implementation, Tech Stack &amp; Settings</w:t>
            </w:r>
          </w:p>
        </w:tc>
        <w:tc>
          <w:tcPr>
            <w:tcW w:type="dxa" w:w="5234"/>
          </w:tcPr>
          <w:p>
            <w:pPr>
              <w:jc w:val="right"/>
            </w:pPr>
            <w:r>
              <w:rPr>
                <w:b/>
                <w:color w:val="0F2A4A"/>
                <w:sz w:val="16"/>
              </w:rPr>
              <w:t>Page 7</w:t>
            </w:r>
          </w:p>
        </w:tc>
      </w:tr>
      <w:tr>
        <w:tc>
          <w:tcPr>
            <w:tcW w:type="dxa" w:w="5234"/>
          </w:tcPr>
          <w:p>
            <w:r>
              <w:rPr>
                <w:b/>
                <w:sz w:val="16"/>
              </w:rPr>
              <w:t>8.  Experimental Results, Empirical Verification &amp; Discussion</w:t>
            </w:r>
          </w:p>
        </w:tc>
        <w:tc>
          <w:tcPr>
            <w:tcW w:type="dxa" w:w="5234"/>
          </w:tcPr>
          <w:p>
            <w:pPr>
              <w:jc w:val="right"/>
            </w:pPr>
            <w:r>
              <w:rPr>
                <w:b/>
                <w:color w:val="0F2A4A"/>
                <w:sz w:val="16"/>
              </w:rPr>
              <w:t>Page 8</w:t>
            </w:r>
          </w:p>
        </w:tc>
      </w:tr>
      <w:tr>
        <w:tc>
          <w:tcPr>
            <w:tcW w:type="dxa" w:w="5234"/>
          </w:tcPr>
          <w:p>
            <w:r>
              <w:rPr>
                <w:b/>
                <w:sz w:val="16"/>
              </w:rPr>
              <w:t>9.  Live User Interface Demonstration &amp; Application Pages</w:t>
            </w:r>
          </w:p>
        </w:tc>
        <w:tc>
          <w:tcPr>
            <w:tcW w:type="dxa" w:w="5234"/>
          </w:tcPr>
          <w:p>
            <w:pPr>
              <w:jc w:val="right"/>
            </w:pPr>
            <w:r>
              <w:rPr>
                <w:b/>
                <w:color w:val="0F2A4A"/>
                <w:sz w:val="16"/>
              </w:rPr>
              <w:t>Page 9</w:t>
            </w:r>
          </w:p>
        </w:tc>
      </w:tr>
      <w:tr>
        <w:tc>
          <w:tcPr>
            <w:tcW w:type="dxa" w:w="5234"/>
          </w:tcPr>
          <w:p>
            <w:r>
              <w:rPr>
                <w:b/>
                <w:sz w:val="16"/>
              </w:rPr>
              <w:t>10. Challenges, Limitations, Conclusion &amp; Future Scope</w:t>
            </w:r>
          </w:p>
        </w:tc>
        <w:tc>
          <w:tcPr>
            <w:tcW w:type="dxa" w:w="5234"/>
          </w:tcPr>
          <w:p>
            <w:pPr>
              <w:jc w:val="right"/>
            </w:pPr>
            <w:r>
              <w:rPr>
                <w:b/>
                <w:color w:val="0F2A4A"/>
                <w:sz w:val="16"/>
              </w:rPr>
              <w:t>Page 10</w:t>
            </w:r>
          </w:p>
        </w:tc>
      </w:tr>
      <w:tr>
        <w:tc>
          <w:tcPr>
            <w:tcW w:type="dxa" w:w="5234"/>
          </w:tcPr>
          <w:p>
            <w:r>
              <w:rPr>
                <w:b/>
                <w:sz w:val="16"/>
              </w:rPr>
              <w:t>References [1] - [12]</w:t>
            </w:r>
          </w:p>
        </w:tc>
        <w:tc>
          <w:tcPr>
            <w:tcW w:type="dxa" w:w="5234"/>
          </w:tcPr>
          <w:p>
            <w:pPr>
              <w:jc w:val="right"/>
            </w:pPr>
            <w:r>
              <w:rPr>
                <w:b/>
                <w:color w:val="0F2A4A"/>
                <w:sz w:val="16"/>
              </w:rPr>
              <w:t>Page 10</w:t>
            </w:r>
          </w:p>
        </w:tc>
      </w:tr>
      <w:tr>
        <w:tc>
          <w:tcPr>
            <w:tcW w:type="dxa" w:w="5234"/>
          </w:tcPr>
          <w:p>
            <w:r>
              <w:rPr>
                <w:b/>
                <w:sz w:val="16"/>
              </w:rPr>
              <w:t>Appendix A: Complete 25-Asset Blue-Chip Portfolio Holdings Snapshot</w:t>
            </w:r>
          </w:p>
        </w:tc>
        <w:tc>
          <w:tcPr>
            <w:tcW w:type="dxa" w:w="5234"/>
          </w:tcPr>
          <w:p>
            <w:pPr>
              <w:jc w:val="right"/>
            </w:pPr>
            <w:r>
              <w:rPr>
                <w:b/>
                <w:color w:val="0F2A4A"/>
                <w:sz w:val="16"/>
              </w:rPr>
              <w:t>Page 11</w:t>
            </w:r>
          </w:p>
        </w:tc>
      </w:tr>
    </w:tbl>
    <w:p>
      <w:pPr>
        <w:spacing w:before="80" w:after="60" w:line="269" w:lineRule="auto"/>
        <w:jc w:val="left"/>
      </w:pPr>
      <w:r>
        <w:rPr>
          <w:rFonts w:ascii="Times New Roman" w:hAnsi="Times New Roman"/>
          <w:b w:val="0"/>
          <w:i w:val="0"/>
          <w:color w:val="1E232A"/>
          <w:sz w:val="17"/>
        </w:rPr>
      </w:r>
    </w:p>
    <w:p>
      <w:pPr>
        <w:spacing w:before="100" w:after="40" w:line="269" w:lineRule="auto"/>
        <w:jc w:val="left"/>
      </w:pPr>
      <w:r>
        <w:rPr>
          <w:rFonts w:ascii="Times New Roman" w:hAnsi="Times New Roman"/>
          <w:b/>
          <w:i w:val="0"/>
          <w:color w:val="0F2A4A"/>
          <w:sz w:val="22"/>
        </w:rPr>
        <w:t>Acknowledgement</w:t>
      </w:r>
    </w:p>
    <w:p>
      <w:pPr>
        <w:spacing w:before="0" w:after="60" w:line="269" w:lineRule="auto"/>
        <w:jc w:val="left"/>
      </w:pPr>
      <w:r>
        <w:rPr>
          <w:rFonts w:ascii="Times New Roman" w:hAnsi="Times New Roman"/>
          <w:b w:val="0"/>
          <w:i/>
          <w:color w:val="1E232A"/>
          <w:sz w:val="16"/>
        </w:rPr>
        <w:t>We express our sincere intellectual gratitude to our project guide, Dr. Divya C, Department of Artificial Intelligence, Amrita Vishwa Vidyapeetham, Coimbatore, for her continuous mentorship, rigorous critiques on convex formulation, and guidance on machine learning verification. We also express our gratitude to the Department of Artificial Intelligence and the Course Examination Committee for providing the computational infrastructure, academic autonomy, and high-performance development resources required to complete this project.</w:t>
      </w:r>
    </w:p>
    <w:p>
      <w:r>
        <w:br w:type="page"/>
      </w:r>
    </w:p>
    <w:p>
      <w:pPr>
        <w:spacing w:before="100" w:after="40" w:line="269" w:lineRule="auto"/>
        <w:jc w:val="left"/>
      </w:pPr>
      <w:r>
        <w:rPr>
          <w:rFonts w:ascii="Times New Roman" w:hAnsi="Times New Roman"/>
          <w:b/>
          <w:i w:val="0"/>
          <w:color w:val="0F2A4A"/>
          <w:sz w:val="22"/>
        </w:rPr>
        <w:t>1.  Introduction and Motivation</w:t>
      </w:r>
    </w:p>
    <w:p>
      <w:pPr>
        <w:spacing w:before="0" w:after="60" w:line="269" w:lineRule="auto"/>
        <w:jc w:val="left"/>
      </w:pPr>
      <w:r>
        <w:rPr>
          <w:rFonts w:ascii="Times New Roman" w:hAnsi="Times New Roman"/>
          <w:b w:val="0"/>
          <w:i w:val="0"/>
          <w:color w:val="1E232A"/>
          <w:sz w:val="17"/>
        </w:rPr>
        <w:t>Risk, not raw return, is the fundamental quantity an algorithmic asset manager can systematically model, bound, and optimize. While equity returns are predominantly noise-dominated and non-predictable over short horizons, market risk exhibits three universal empirical properties that form the foundational rationale for SparsioQ:</w:t>
      </w:r>
    </w:p>
    <w:p>
      <w:pPr>
        <w:pStyle w:val="ListBullet"/>
        <w:spacing w:before="20" w:after="40" w:line="269" w:lineRule="auto"/>
      </w:pPr>
      <w:r>
        <w:rPr>
          <w:rFonts w:ascii="Times New Roman" w:hAnsi="Times New Roman"/>
          <w:b/>
          <w:color w:val="0F2A4A"/>
          <w:sz w:val="17"/>
        </w:rPr>
        <w:t>Volatility Clusters and Persists:</w:t>
      </w:r>
      <w:r>
        <w:rPr>
          <w:rFonts w:ascii="Times New Roman" w:hAnsi="Times New Roman"/>
          <w:color w:val="1E232A"/>
          <w:sz w:val="17"/>
        </w:rPr>
        <w:t xml:space="preserve"> Large price movements tend to be followed by large movements of unpredictable sign, and calm periods cluster together. This persistence--initially formalized by Engle's ARCH framework [6] and extended to non-stationary Markov state switches [4]--implies that volatility regimes can be identified and hedged before ruinous drawdowns materialize.</w:t>
      </w:r>
    </w:p>
    <w:p>
      <w:pPr>
        <w:pStyle w:val="ListBullet"/>
        <w:spacing w:before="20" w:after="40" w:line="269" w:lineRule="auto"/>
      </w:pPr>
      <w:r>
        <w:rPr>
          <w:rFonts w:ascii="Times New Roman" w:hAnsi="Times New Roman"/>
          <w:b/>
          <w:color w:val="0F2A4A"/>
          <w:sz w:val="17"/>
        </w:rPr>
        <w:t>Cardinality and Transaction Friction Erode Alpha:</w:t>
      </w:r>
      <w:r>
        <w:rPr>
          <w:rFonts w:ascii="Times New Roman" w:hAnsi="Times New Roman"/>
          <w:color w:val="1E232A"/>
          <w:sz w:val="17"/>
        </w:rPr>
        <w:t xml:space="preserve"> Unconstrained portfolio optimization spreads fractional weights across dozens of micro-holdings. In realistic retail and institutional execution, fixed per-trade brokerage fees, Securities Transaction Tax (STT), exchange turnover charges, and bid-ask slippage drastically penalize non-sparse portfolios, frequently transforming positive theoretical alpha into net negative capital erosion.</w:t>
      </w:r>
    </w:p>
    <w:p>
      <w:pPr>
        <w:pStyle w:val="ListBullet"/>
        <w:spacing w:before="20" w:after="40" w:line="269" w:lineRule="auto"/>
      </w:pPr>
      <w:r>
        <w:rPr>
          <w:rFonts w:ascii="Times New Roman" w:hAnsi="Times New Roman"/>
          <w:b/>
          <w:color w:val="0F2A4A"/>
          <w:sz w:val="17"/>
        </w:rPr>
        <w:t>Market Dynamics Suffer Discrete Regime Shifts:</w:t>
      </w:r>
      <w:r>
        <w:rPr>
          <w:rFonts w:ascii="Times New Roman" w:hAnsi="Times New Roman"/>
          <w:color w:val="1E232A"/>
          <w:sz w:val="17"/>
        </w:rPr>
        <w:t xml:space="preserve"> Asset co-movements and cross-correlations are not stationary Gaussian distributions; during macroeconomic liquidity crunches, correlations spike toward unity while tail risks expand quadratically. Static models that assume time-invariant covariance collapse during such transitions.</w:t>
      </w:r>
    </w:p>
    <w:p>
      <w:pPr>
        <w:spacing w:before="0" w:after="60" w:line="269" w:lineRule="auto"/>
        <w:jc w:val="left"/>
      </w:pPr>
      <w:r>
        <w:rPr>
          <w:rFonts w:ascii="Times New Roman" w:hAnsi="Times New Roman"/>
          <w:b w:val="0"/>
          <w:i w:val="0"/>
          <w:color w:val="1E232A"/>
          <w:sz w:val="17"/>
        </w:rPr>
        <w:t>SparsioQ unites these three mathematical insights into an operational software platform: an L1-regularized convex optimizer, an unsupervised 3-State Gaussian HMM regime engine, an accelerated Quantum Amplitude Estimation module for tail risk, and a zero-jargon multimodal LLM interface deployed to production for 25 large-cap NSE equities.</w:t>
      </w:r>
    </w:p>
    <w:p>
      <w:pPr>
        <w:spacing w:before="100" w:after="40" w:line="269" w:lineRule="auto"/>
        <w:jc w:val="left"/>
      </w:pPr>
      <w:r>
        <w:rPr>
          <w:rFonts w:ascii="Times New Roman" w:hAnsi="Times New Roman"/>
          <w:b/>
          <w:i w:val="0"/>
          <w:color w:val="0F2A4A"/>
          <w:sz w:val="22"/>
        </w:rPr>
        <w:t>2.  Problem Statement</w:t>
      </w:r>
    </w:p>
    <w:p>
      <w:pPr>
        <w:spacing w:before="0" w:after="60" w:line="269" w:lineRule="auto"/>
        <w:jc w:val="left"/>
      </w:pPr>
      <w:r>
        <w:rPr>
          <w:rFonts w:ascii="Times New Roman" w:hAnsi="Times New Roman"/>
          <w:b w:val="0"/>
          <w:i w:val="0"/>
          <w:color w:val="1E232A"/>
          <w:sz w:val="17"/>
        </w:rPr>
        <w:t>Under classical Modern Portfolio Theory (Markowitz, 1952), an investor selects an asset allocation weight vector lying on the standard probability simplex to balance expected return against variance. However, when applied to real financial markets, standard Mean-Variance Optimization exhibits severe practical failure modes:</w:t>
      </w:r>
    </w:p>
    <w:p>
      <w:pPr>
        <w:pStyle w:val="ListBullet"/>
        <w:spacing w:before="20" w:after="40" w:line="269" w:lineRule="auto"/>
      </w:pPr>
      <w:r>
        <w:rPr>
          <w:rFonts w:ascii="Times New Roman" w:hAnsi="Times New Roman"/>
          <w:b/>
          <w:color w:val="0F2A4A"/>
          <w:sz w:val="17"/>
        </w:rPr>
        <w:t>1. Covariance Estimation Noise:</w:t>
      </w:r>
      <w:r>
        <w:rPr>
          <w:rFonts w:ascii="Times New Roman" w:hAnsi="Times New Roman"/>
          <w:color w:val="1E232A"/>
          <w:sz w:val="17"/>
        </w:rPr>
        <w:t xml:space="preserve"> Empirical sample covariance matrices computed from finite historical lookback windows are ill-conditioned and contaminated by bulk noise eigenvalues, leading to extreme out-of-sample instability and sensitivity to estimation errors.</w:t>
      </w:r>
    </w:p>
    <w:p>
      <w:pPr>
        <w:pStyle w:val="ListBullet"/>
        <w:spacing w:before="20" w:after="40" w:line="269" w:lineRule="auto"/>
      </w:pPr>
      <w:r>
        <w:rPr>
          <w:rFonts w:ascii="Times New Roman" w:hAnsi="Times New Roman"/>
          <w:b/>
          <w:color w:val="0F2A4A"/>
          <w:sz w:val="17"/>
        </w:rPr>
        <w:t>2. Lack of Cardinal Sparsity:</w:t>
      </w:r>
      <w:r>
        <w:rPr>
          <w:rFonts w:ascii="Times New Roman" w:hAnsi="Times New Roman"/>
          <w:color w:val="1E232A"/>
          <w:sz w:val="17"/>
        </w:rPr>
        <w:t xml:space="preserve"> Standard quadratic solvers assign tiny non-zero allocations (such as 0.15% or 0.42%) across all candidate assets. Holding 25 to 50 fractional positions creates prohibitive rebalancing drag for individual investors.</w:t>
      </w:r>
    </w:p>
    <w:p>
      <w:pPr>
        <w:pStyle w:val="ListBullet"/>
        <w:spacing w:before="20" w:after="40" w:line="269" w:lineRule="auto"/>
      </w:pPr>
      <w:r>
        <w:rPr>
          <w:rFonts w:ascii="Times New Roman" w:hAnsi="Times New Roman"/>
          <w:b/>
          <w:color w:val="0F2A4A"/>
          <w:sz w:val="17"/>
        </w:rPr>
        <w:t>3. Regime Blindness &amp; Gaussian Fallacy:</w:t>
      </w:r>
      <w:r>
        <w:rPr>
          <w:rFonts w:ascii="Times New Roman" w:hAnsi="Times New Roman"/>
          <w:color w:val="1E232A"/>
          <w:sz w:val="17"/>
        </w:rPr>
        <w:t xml:space="preserve"> Traditional models assume returns follow a stationary multivariate Gaussian distribution, completely missing volatility clustering and heavy-tailed kurtosis.</w:t>
      </w:r>
    </w:p>
    <w:p>
      <w:pPr>
        <w:pStyle w:val="ListBullet"/>
        <w:spacing w:before="20" w:after="40" w:line="269" w:lineRule="auto"/>
      </w:pPr>
      <w:r>
        <w:rPr>
          <w:rFonts w:ascii="Times New Roman" w:hAnsi="Times New Roman"/>
          <w:b/>
          <w:color w:val="0F2A4A"/>
          <w:sz w:val="17"/>
        </w:rPr>
        <w:t>4. Prohibitive Monte Carlo Complexity:</w:t>
      </w:r>
      <w:r>
        <w:rPr>
          <w:rFonts w:ascii="Times New Roman" w:hAnsi="Times New Roman"/>
          <w:color w:val="1E232A"/>
          <w:sz w:val="17"/>
        </w:rPr>
        <w:t xml:space="preserve"> Estimating non-linear derivative exposures and tail Value-at-Risk requires up to 1,000,000 Monte Carlo paths, scaling quadratically with precision requirements and preventing real-time re-weighting.</w:t>
      </w:r>
    </w:p>
    <w:p>
      <w:pPr>
        <w:spacing w:before="100" w:after="40" w:line="269" w:lineRule="auto"/>
        <w:jc w:val="left"/>
      </w:pPr>
      <w:r>
        <w:rPr>
          <w:rFonts w:ascii="Times New Roman" w:hAnsi="Times New Roman"/>
          <w:b/>
          <w:i w:val="0"/>
          <w:color w:val="0F2A4A"/>
          <w:sz w:val="22"/>
        </w:rPr>
        <w:t>3.  Project Objectives and Core Deliverables</w:t>
      </w:r>
    </w:p>
    <w:p>
      <w:pPr>
        <w:pStyle w:val="ListBullet"/>
        <w:spacing w:before="20" w:after="40" w:line="269" w:lineRule="auto"/>
      </w:pPr>
      <w:r>
        <w:rPr>
          <w:rFonts w:ascii="Times New Roman" w:hAnsi="Times New Roman"/>
          <w:b/>
          <w:color w:val="0F2A4A"/>
          <w:sz w:val="17"/>
        </w:rPr>
        <w:t>Exact Sparse Convex Formulation:</w:t>
      </w:r>
      <w:r>
        <w:rPr>
          <w:rFonts w:ascii="Times New Roman" w:hAnsi="Times New Roman"/>
          <w:color w:val="1E232A"/>
          <w:sz w:val="17"/>
        </w:rPr>
        <w:t xml:space="preserve"> Formulate an L1-penalized convex quadratic program solved via the Primal-Dual Interior-Point cone algorithm (CVXOPT), guaranteeing global Karush-Kuhn-Tucker (KKT) optimality in polynomial time while driving non-performing weights identically to zero.</w:t>
      </w:r>
    </w:p>
    <w:p>
      <w:pPr>
        <w:pStyle w:val="ListBullet"/>
        <w:spacing w:before="20" w:after="40" w:line="269" w:lineRule="auto"/>
      </w:pPr>
      <w:r>
        <w:rPr>
          <w:rFonts w:ascii="Times New Roman" w:hAnsi="Times New Roman"/>
          <w:b/>
          <w:color w:val="0F2A4A"/>
          <w:sz w:val="17"/>
        </w:rPr>
        <w:t>Unsupervised Market Regime Classification:</w:t>
      </w:r>
      <w:r>
        <w:rPr>
          <w:rFonts w:ascii="Times New Roman" w:hAnsi="Times New Roman"/>
          <w:color w:val="1E232A"/>
          <w:sz w:val="17"/>
        </w:rPr>
        <w:t xml:space="preserve"> Calibrate a 3-State Gaussian Hidden Markov Model over rolling daily log-returns and realized volatility via the Expectation-Maximization Baum-Welch algorithm to detect Bullish, Choppy, and Crash states.</w:t>
      </w:r>
    </w:p>
    <w:p>
      <w:pPr>
        <w:pStyle w:val="ListBullet"/>
        <w:spacing w:before="20" w:after="40" w:line="269" w:lineRule="auto"/>
      </w:pPr>
      <w:r>
        <w:rPr>
          <w:rFonts w:ascii="Times New Roman" w:hAnsi="Times New Roman"/>
          <w:b/>
          <w:color w:val="0F2A4A"/>
          <w:sz w:val="17"/>
        </w:rPr>
        <w:t>Quantum Risk Engine Formulation:</w:t>
      </w:r>
      <w:r>
        <w:rPr>
          <w:rFonts w:ascii="Times New Roman" w:hAnsi="Times New Roman"/>
          <w:color w:val="1E232A"/>
          <w:sz w:val="17"/>
        </w:rPr>
        <w:t xml:space="preserve"> Construct a Quantum Amplitude Estimation (QAE) operator achieving a quadratic speedup of order O(1/epsilon) for tail Value-at-Risk (99% VaR) and Expected Shortfall.</w:t>
      </w:r>
    </w:p>
    <w:p>
      <w:pPr>
        <w:pStyle w:val="ListBullet"/>
        <w:spacing w:before="20" w:after="40" w:line="269" w:lineRule="auto"/>
      </w:pPr>
      <w:r>
        <w:rPr>
          <w:rFonts w:ascii="Times New Roman" w:hAnsi="Times New Roman"/>
          <w:b/>
          <w:color w:val="0F2A4A"/>
          <w:sz w:val="17"/>
        </w:rPr>
        <w:t>Multilinear Subspace Factorization:</w:t>
      </w:r>
      <w:r>
        <w:rPr>
          <w:rFonts w:ascii="Times New Roman" w:hAnsi="Times New Roman"/>
          <w:color w:val="1E232A"/>
          <w:sz w:val="17"/>
        </w:rPr>
        <w:t xml:space="preserve"> Apply 3D Tensor Tucker Decomposition (Higher-Order SVD) to decompose the Asset by Feature by Time tensor, filtering idiosyncratic noise from core systemic market modes.</w:t>
      </w:r>
    </w:p>
    <w:p>
      <w:pPr>
        <w:pStyle w:val="ListBullet"/>
        <w:spacing w:before="20" w:after="40" w:line="269" w:lineRule="auto"/>
      </w:pPr>
      <w:r>
        <w:rPr>
          <w:rFonts w:ascii="Times New Roman" w:hAnsi="Times New Roman"/>
          <w:b/>
          <w:color w:val="0F2A4A"/>
          <w:sz w:val="17"/>
        </w:rPr>
        <w:t>Zero-Latency Production Engineering:</w:t>
      </w:r>
      <w:r>
        <w:rPr>
          <w:rFonts w:ascii="Times New Roman" w:hAnsi="Times New Roman"/>
          <w:color w:val="1E232A"/>
          <w:sz w:val="17"/>
        </w:rPr>
        <w:t xml:space="preserve"> Deploy a stateful web application featuring real-time NSE data ingestion, paper trade execution, and an automated LLM co-pilot that synthesizes mathematical outputs into clear plain-English financial directives.</w:t>
      </w:r>
    </w:p>
    <w:p>
      <w:r>
        <w:br w:type="page"/>
      </w:r>
    </w:p>
    <w:p>
      <w:pPr>
        <w:spacing w:before="100" w:after="40" w:line="269" w:lineRule="auto"/>
        <w:jc w:val="left"/>
      </w:pPr>
      <w:r>
        <w:rPr>
          <w:rFonts w:ascii="Times New Roman" w:hAnsi="Times New Roman"/>
          <w:b/>
          <w:i w:val="0"/>
          <w:color w:val="0F2A4A"/>
          <w:sz w:val="22"/>
        </w:rPr>
        <w:t>4.  Literature Review &amp; Existing Systems Comparison</w:t>
      </w:r>
    </w:p>
    <w:p>
      <w:pPr>
        <w:spacing w:before="0" w:after="60" w:line="269" w:lineRule="auto"/>
        <w:jc w:val="left"/>
      </w:pPr>
      <w:r>
        <w:rPr>
          <w:rFonts w:ascii="Times New Roman" w:hAnsi="Times New Roman"/>
          <w:b w:val="0"/>
          <w:i w:val="0"/>
          <w:color w:val="1E232A"/>
          <w:sz w:val="17"/>
        </w:rPr>
        <w:t>Quantitative portfolio management literature is anchored by several landmark theoretical breakthroughs. Table 1 summarizes the core foundational studies directly integrated into SparsioQ's computational engine.</w:t>
      </w:r>
    </w:p>
    <w:p>
      <w:pPr>
        <w:spacing w:before="0" w:after="60" w:line="269" w:lineRule="auto"/>
        <w:jc w:val="left"/>
      </w:pPr>
      <w:r>
        <w:rPr>
          <w:rFonts w:ascii="Times New Roman" w:hAnsi="Times New Roman"/>
          <w:b/>
          <w:i w:val="0"/>
          <w:color w:val="0F2A4A"/>
          <w:sz w:val="17"/>
        </w:rPr>
        <w:t>Table 1: Landmark Academic Literature Reviewed &amp; Implementation Role in SparsioQ</w:t>
      </w:r>
    </w:p>
    <w:tbl>
      <w:tblPr>
        <w:tblW w:type="auto" w:w="0"/>
        <w:jc w:val="center"/>
        <w:tblLook w:firstColumn="1" w:firstRow="1" w:lastColumn="0" w:lastRow="0" w:noHBand="0" w:noVBand="1" w:val="04A0"/>
      </w:tblPr>
      <w:tblGrid>
        <w:gridCol w:w="2617"/>
        <w:gridCol w:w="2617"/>
        <w:gridCol w:w="2617"/>
        <w:gridCol w:w="2617"/>
      </w:tblGrid>
      <w:tr>
        <w:tc>
          <w:tcPr>
            <w:tcW w:type="dxa" w:w="2617"/>
          </w:tcPr>
          <w:p>
            <w:r>
              <w:rPr>
                <w:b/>
                <w:color w:val="0F2A4A"/>
                <w:sz w:val="16"/>
              </w:rPr>
              <w:t>Paper Title &amp; Landmark Citation</w:t>
            </w:r>
          </w:p>
        </w:tc>
        <w:tc>
          <w:tcPr>
            <w:tcW w:type="dxa" w:w="2617"/>
          </w:tcPr>
          <w:p>
            <w:r>
              <w:rPr>
                <w:b/>
                <w:color w:val="0F2A4A"/>
                <w:sz w:val="16"/>
              </w:rPr>
              <w:t>Authors &amp; Venue</w:t>
            </w:r>
          </w:p>
        </w:tc>
        <w:tc>
          <w:tcPr>
            <w:tcW w:type="dxa" w:w="2617"/>
          </w:tcPr>
          <w:p>
            <w:r>
              <w:rPr>
                <w:b/>
                <w:color w:val="0F2A4A"/>
                <w:sz w:val="16"/>
              </w:rPr>
              <w:t>Core Mathematical Contribution</w:t>
            </w:r>
          </w:p>
        </w:tc>
        <w:tc>
          <w:tcPr>
            <w:tcW w:type="dxa" w:w="2617"/>
          </w:tcPr>
          <w:p>
            <w:r>
              <w:rPr>
                <w:b/>
                <w:color w:val="0F2A4A"/>
                <w:sz w:val="16"/>
              </w:rPr>
              <w:t>Role in SparsioQ</w:t>
            </w:r>
          </w:p>
        </w:tc>
      </w:tr>
      <w:tr>
        <w:tc>
          <w:tcPr>
            <w:tcW w:type="dxa" w:w="2617"/>
          </w:tcPr>
          <w:p>
            <w:r>
              <w:rPr>
                <w:b/>
                <w:color w:val="1E232A"/>
                <w:sz w:val="15"/>
              </w:rPr>
              <w:t>Portfolio Selection [1]</w:t>
            </w:r>
          </w:p>
        </w:tc>
        <w:tc>
          <w:tcPr>
            <w:tcW w:type="dxa" w:w="2617"/>
          </w:tcPr>
          <w:p>
            <w:r>
              <w:rPr>
                <w:color w:val="1E232A"/>
                <w:sz w:val="15"/>
              </w:rPr>
              <w:t>H. Markowitz (1952), J. Finance</w:t>
            </w:r>
          </w:p>
        </w:tc>
        <w:tc>
          <w:tcPr>
            <w:tcW w:type="dxa" w:w="2617"/>
          </w:tcPr>
          <w:p>
            <w:r>
              <w:rPr>
                <w:color w:val="1E232A"/>
                <w:sz w:val="15"/>
              </w:rPr>
              <w:t>Mean-variance portfolio formulation and efficient frontier</w:t>
            </w:r>
          </w:p>
        </w:tc>
        <w:tc>
          <w:tcPr>
            <w:tcW w:type="dxa" w:w="2617"/>
          </w:tcPr>
          <w:p>
            <w:r>
              <w:rPr>
                <w:color w:val="1E232A"/>
                <w:sz w:val="15"/>
              </w:rPr>
              <w:t>Baseline convex quadratic objective</w:t>
            </w:r>
          </w:p>
        </w:tc>
      </w:tr>
      <w:tr>
        <w:tc>
          <w:tcPr>
            <w:tcW w:type="dxa" w:w="2617"/>
          </w:tcPr>
          <w:p>
            <w:r>
              <w:rPr>
                <w:b/>
                <w:color w:val="1E232A"/>
                <w:sz w:val="15"/>
              </w:rPr>
              <w:t>Convex Optimization [2]</w:t>
            </w:r>
          </w:p>
        </w:tc>
        <w:tc>
          <w:tcPr>
            <w:tcW w:type="dxa" w:w="2617"/>
          </w:tcPr>
          <w:p>
            <w:r>
              <w:rPr>
                <w:color w:val="1E232A"/>
                <w:sz w:val="15"/>
              </w:rPr>
              <w:t>S. Boyd &amp; L. Vandenberghe (2004)</w:t>
            </w:r>
          </w:p>
        </w:tc>
        <w:tc>
          <w:tcPr>
            <w:tcW w:type="dxa" w:w="2617"/>
          </w:tcPr>
          <w:p>
            <w:r>
              <w:rPr>
                <w:color w:val="1E232A"/>
                <w:sz w:val="15"/>
              </w:rPr>
              <w:t>Primal-dual interior point methods &amp; conic duality</w:t>
            </w:r>
          </w:p>
        </w:tc>
        <w:tc>
          <w:tcPr>
            <w:tcW w:type="dxa" w:w="2617"/>
          </w:tcPr>
          <w:p>
            <w:r>
              <w:rPr>
                <w:color w:val="1E232A"/>
                <w:sz w:val="15"/>
              </w:rPr>
              <w:t>CVXOPT sparse QP solver engine</w:t>
            </w:r>
          </w:p>
        </w:tc>
      </w:tr>
      <w:tr>
        <w:tc>
          <w:tcPr>
            <w:tcW w:type="dxa" w:w="2617"/>
          </w:tcPr>
          <w:p>
            <w:r>
              <w:rPr>
                <w:b/>
                <w:color w:val="1E232A"/>
                <w:sz w:val="15"/>
              </w:rPr>
              <w:t>A Tutorial on Hidden Markov Models [4]</w:t>
            </w:r>
          </w:p>
        </w:tc>
        <w:tc>
          <w:tcPr>
            <w:tcW w:type="dxa" w:w="2617"/>
          </w:tcPr>
          <w:p>
            <w:r>
              <w:rPr>
                <w:color w:val="1E232A"/>
                <w:sz w:val="15"/>
              </w:rPr>
              <w:t>L. Rabiner (1989), Proc. IEEE</w:t>
            </w:r>
          </w:p>
        </w:tc>
        <w:tc>
          <w:tcPr>
            <w:tcW w:type="dxa" w:w="2617"/>
          </w:tcPr>
          <w:p>
            <w:r>
              <w:rPr>
                <w:color w:val="1E232A"/>
                <w:sz w:val="15"/>
              </w:rPr>
              <w:t>Baum-Welch EM and forward-backward algorithms</w:t>
            </w:r>
          </w:p>
        </w:tc>
        <w:tc>
          <w:tcPr>
            <w:tcW w:type="dxa" w:w="2617"/>
          </w:tcPr>
          <w:p>
            <w:r>
              <w:rPr>
                <w:color w:val="1E232A"/>
                <w:sz w:val="15"/>
              </w:rPr>
              <w:t>3-state regime identification</w:t>
            </w:r>
          </w:p>
        </w:tc>
      </w:tr>
      <w:tr>
        <w:tc>
          <w:tcPr>
            <w:tcW w:type="dxa" w:w="2617"/>
          </w:tcPr>
          <w:p>
            <w:r>
              <w:rPr>
                <w:b/>
                <w:color w:val="1E232A"/>
                <w:sz w:val="15"/>
              </w:rPr>
              <w:t>Quantum Amplitude Estimation [5]</w:t>
            </w:r>
          </w:p>
        </w:tc>
        <w:tc>
          <w:tcPr>
            <w:tcW w:type="dxa" w:w="2617"/>
          </w:tcPr>
          <w:p>
            <w:r>
              <w:rPr>
                <w:color w:val="1E232A"/>
                <w:sz w:val="15"/>
              </w:rPr>
              <w:t>G. Brassard et al. (2002), AMS</w:t>
            </w:r>
          </w:p>
        </w:tc>
        <w:tc>
          <w:tcPr>
            <w:tcW w:type="dxa" w:w="2617"/>
          </w:tcPr>
          <w:p>
            <w:r>
              <w:rPr>
                <w:color w:val="1E232A"/>
                <w:sz w:val="15"/>
              </w:rPr>
              <w:t>Quadratic speedup of order O(1/epsilon) over Monte Carlo</w:t>
            </w:r>
          </w:p>
        </w:tc>
        <w:tc>
          <w:tcPr>
            <w:tcW w:type="dxa" w:w="2617"/>
          </w:tcPr>
          <w:p>
            <w:r>
              <w:rPr>
                <w:color w:val="1E232A"/>
                <w:sz w:val="15"/>
              </w:rPr>
              <w:t>High-speed Value-at-Risk engine</w:t>
            </w:r>
          </w:p>
        </w:tc>
      </w:tr>
      <w:tr>
        <w:tc>
          <w:tcPr>
            <w:tcW w:type="dxa" w:w="2617"/>
          </w:tcPr>
          <w:p>
            <w:r>
              <w:rPr>
                <w:b/>
                <w:color w:val="1E232A"/>
                <w:sz w:val="15"/>
              </w:rPr>
              <w:t>Option Pricing &amp; Corporate Liabilities [6]</w:t>
            </w:r>
          </w:p>
        </w:tc>
        <w:tc>
          <w:tcPr>
            <w:tcW w:type="dxa" w:w="2617"/>
          </w:tcPr>
          <w:p>
            <w:r>
              <w:rPr>
                <w:color w:val="1E232A"/>
                <w:sz w:val="15"/>
              </w:rPr>
              <w:t>F. Black &amp; M. Scholes (1973), JPE</w:t>
            </w:r>
          </w:p>
        </w:tc>
        <w:tc>
          <w:tcPr>
            <w:tcW w:type="dxa" w:w="2617"/>
          </w:tcPr>
          <w:p>
            <w:r>
              <w:rPr>
                <w:color w:val="1E232A"/>
                <w:sz w:val="15"/>
              </w:rPr>
              <w:t>Closed-form PDE solution for option pricing &amp; Greeks</w:t>
            </w:r>
          </w:p>
        </w:tc>
        <w:tc>
          <w:tcPr>
            <w:tcW w:type="dxa" w:w="2617"/>
          </w:tcPr>
          <w:p>
            <w:r>
              <w:rPr>
                <w:color w:val="1E232A"/>
                <w:sz w:val="15"/>
              </w:rPr>
              <w:t>Multi-Greek volatility surface</w:t>
            </w:r>
          </w:p>
        </w:tc>
      </w:tr>
      <w:tr>
        <w:tc>
          <w:tcPr>
            <w:tcW w:type="dxa" w:w="2617"/>
          </w:tcPr>
          <w:p>
            <w:r>
              <w:rPr>
                <w:b/>
                <w:color w:val="1E232A"/>
                <w:sz w:val="15"/>
              </w:rPr>
              <w:t>Higher-Order SVD of Tensors [7]</w:t>
            </w:r>
          </w:p>
        </w:tc>
        <w:tc>
          <w:tcPr>
            <w:tcW w:type="dxa" w:w="2617"/>
          </w:tcPr>
          <w:p>
            <w:r>
              <w:rPr>
                <w:color w:val="1E232A"/>
                <w:sz w:val="15"/>
              </w:rPr>
              <w:t>L. De Lathauwer et al. (2000), SIMAX</w:t>
            </w:r>
          </w:p>
        </w:tc>
        <w:tc>
          <w:tcPr>
            <w:tcW w:type="dxa" w:w="2617"/>
          </w:tcPr>
          <w:p>
            <w:r>
              <w:rPr>
                <w:color w:val="1E232A"/>
                <w:sz w:val="15"/>
              </w:rPr>
              <w:t>Multilinear singular value decomposition of N-way tensors</w:t>
            </w:r>
          </w:p>
        </w:tc>
        <w:tc>
          <w:tcPr>
            <w:tcW w:type="dxa" w:w="2617"/>
          </w:tcPr>
          <w:p>
            <w:r>
              <w:rPr>
                <w:color w:val="1E232A"/>
                <w:sz w:val="15"/>
              </w:rPr>
              <w:t>Tensor factor denoising</w:t>
            </w:r>
          </w:p>
        </w:tc>
      </w:tr>
    </w:tbl>
    <w:p>
      <w:pPr>
        <w:spacing w:before="80" w:after="60" w:line="269" w:lineRule="auto"/>
        <w:jc w:val="left"/>
      </w:pPr>
      <w:r>
        <w:rPr>
          <w:rFonts w:ascii="Times New Roman" w:hAnsi="Times New Roman"/>
          <w:b w:val="0"/>
          <w:i w:val="0"/>
          <w:color w:val="1E232A"/>
          <w:sz w:val="17"/>
        </w:rPr>
      </w:r>
    </w:p>
    <w:p>
      <w:pPr>
        <w:spacing w:before="0" w:after="60" w:line="269" w:lineRule="auto"/>
        <w:jc w:val="left"/>
      </w:pPr>
      <w:r>
        <w:rPr>
          <w:rFonts w:ascii="Times New Roman" w:hAnsi="Times New Roman"/>
          <w:b/>
          <w:i w:val="0"/>
          <w:color w:val="0F2A4A"/>
          <w:sz w:val="17"/>
        </w:rPr>
        <w:t>Table 2: Architectural Comparison: SparsioQ vs. Prevailing Commercial Platforms</w:t>
      </w:r>
    </w:p>
    <w:tbl>
      <w:tblPr>
        <w:tblW w:type="auto" w:w="0"/>
        <w:jc w:val="center"/>
        <w:tblLook w:firstColumn="1" w:firstRow="1" w:lastColumn="0" w:lastRow="0" w:noHBand="0" w:noVBand="1" w:val="04A0"/>
      </w:tblPr>
      <w:tblGrid>
        <w:gridCol w:w="2094"/>
        <w:gridCol w:w="2094"/>
        <w:gridCol w:w="2094"/>
        <w:gridCol w:w="2094"/>
        <w:gridCol w:w="2094"/>
      </w:tblGrid>
      <w:tr>
        <w:tc>
          <w:tcPr>
            <w:tcW w:type="dxa" w:w="2094"/>
          </w:tcPr>
          <w:p>
            <w:r>
              <w:rPr>
                <w:b/>
                <w:color w:val="0F2A4A"/>
                <w:sz w:val="16"/>
              </w:rPr>
              <w:t>Dimension / Feature</w:t>
            </w:r>
          </w:p>
        </w:tc>
        <w:tc>
          <w:tcPr>
            <w:tcW w:type="dxa" w:w="2094"/>
          </w:tcPr>
          <w:p>
            <w:r>
              <w:rPr>
                <w:b/>
                <w:color w:val="0F2A4A"/>
                <w:sz w:val="16"/>
              </w:rPr>
              <w:t>Zerodha Kite / Groww</w:t>
            </w:r>
          </w:p>
        </w:tc>
        <w:tc>
          <w:tcPr>
            <w:tcW w:type="dxa" w:w="2094"/>
          </w:tcPr>
          <w:p>
            <w:r>
              <w:rPr>
                <w:b/>
                <w:color w:val="0F2A4A"/>
                <w:sz w:val="16"/>
              </w:rPr>
              <w:t>Smallcase</w:t>
            </w:r>
          </w:p>
        </w:tc>
        <w:tc>
          <w:tcPr>
            <w:tcW w:type="dxa" w:w="2094"/>
          </w:tcPr>
          <w:p>
            <w:r>
              <w:rPr>
                <w:b/>
                <w:color w:val="0F2A4A"/>
                <w:sz w:val="16"/>
              </w:rPr>
              <w:t>Wealthfront</w:t>
            </w:r>
          </w:p>
        </w:tc>
        <w:tc>
          <w:tcPr>
            <w:tcW w:type="dxa" w:w="2094"/>
          </w:tcPr>
          <w:p>
            <w:r>
              <w:rPr>
                <w:b/>
                <w:color w:val="0F2A4A"/>
                <w:sz w:val="16"/>
              </w:rPr>
              <w:t>SparsioQ (Ours)</w:t>
            </w:r>
          </w:p>
        </w:tc>
      </w:tr>
      <w:tr>
        <w:tc>
          <w:tcPr>
            <w:tcW w:type="dxa" w:w="2094"/>
          </w:tcPr>
          <w:p>
            <w:r>
              <w:rPr>
                <w:b/>
                <w:color w:val="1E232A"/>
                <w:sz w:val="15"/>
              </w:rPr>
              <w:t>Optimization Core</w:t>
            </w:r>
          </w:p>
        </w:tc>
        <w:tc>
          <w:tcPr>
            <w:tcW w:type="dxa" w:w="2094"/>
          </w:tcPr>
          <w:p>
            <w:r>
              <w:rPr>
                <w:color w:val="1E232A"/>
                <w:sz w:val="15"/>
              </w:rPr>
              <w:t>Manual discretionary order entry</w:t>
            </w:r>
          </w:p>
        </w:tc>
        <w:tc>
          <w:tcPr>
            <w:tcW w:type="dxa" w:w="2094"/>
          </w:tcPr>
          <w:p>
            <w:r>
              <w:rPr>
                <w:color w:val="1E232A"/>
                <w:sz w:val="15"/>
              </w:rPr>
              <w:t>Heuristic market-cap weights</w:t>
            </w:r>
          </w:p>
        </w:tc>
        <w:tc>
          <w:tcPr>
            <w:tcW w:type="dxa" w:w="2094"/>
          </w:tcPr>
          <w:p>
            <w:r>
              <w:rPr>
                <w:color w:val="1E232A"/>
                <w:sz w:val="15"/>
              </w:rPr>
              <w:t>Unconstrained mean-variance</w:t>
            </w:r>
          </w:p>
        </w:tc>
        <w:tc>
          <w:tcPr>
            <w:tcW w:type="dxa" w:w="2094"/>
          </w:tcPr>
          <w:p>
            <w:r>
              <w:rPr>
                <w:b/>
                <w:color w:val="1E232A"/>
                <w:sz w:val="15"/>
              </w:rPr>
              <w:t>Sparse L1 KKT Solver (CVXOPT)</w:t>
            </w:r>
          </w:p>
        </w:tc>
      </w:tr>
      <w:tr>
        <w:tc>
          <w:tcPr>
            <w:tcW w:type="dxa" w:w="2094"/>
          </w:tcPr>
          <w:p>
            <w:r>
              <w:rPr>
                <w:b/>
                <w:color w:val="1E232A"/>
                <w:sz w:val="15"/>
              </w:rPr>
              <w:t>Regime Switching</w:t>
            </w:r>
          </w:p>
        </w:tc>
        <w:tc>
          <w:tcPr>
            <w:tcW w:type="dxa" w:w="2094"/>
          </w:tcPr>
          <w:p>
            <w:r>
              <w:rPr>
                <w:color w:val="1E232A"/>
                <w:sz w:val="15"/>
              </w:rPr>
              <w:t>None (Static charts)</w:t>
            </w:r>
          </w:p>
        </w:tc>
        <w:tc>
          <w:tcPr>
            <w:tcW w:type="dxa" w:w="2094"/>
          </w:tcPr>
          <w:p>
            <w:r>
              <w:rPr>
                <w:color w:val="1E232A"/>
                <w:sz w:val="15"/>
              </w:rPr>
              <w:t>None (Manual review)</w:t>
            </w:r>
          </w:p>
        </w:tc>
        <w:tc>
          <w:tcPr>
            <w:tcW w:type="dxa" w:w="2094"/>
          </w:tcPr>
          <w:p>
            <w:r>
              <w:rPr>
                <w:color w:val="1E232A"/>
                <w:sz w:val="15"/>
              </w:rPr>
              <w:t>Trailing macro volatility</w:t>
            </w:r>
          </w:p>
        </w:tc>
        <w:tc>
          <w:tcPr>
            <w:tcW w:type="dxa" w:w="2094"/>
          </w:tcPr>
          <w:p>
            <w:r>
              <w:rPr>
                <w:b/>
                <w:color w:val="1E232A"/>
                <w:sz w:val="15"/>
              </w:rPr>
              <w:t>3-State Gaussian HMM (Baum-Welch)</w:t>
            </w:r>
          </w:p>
        </w:tc>
      </w:tr>
      <w:tr>
        <w:tc>
          <w:tcPr>
            <w:tcW w:type="dxa" w:w="2094"/>
          </w:tcPr>
          <w:p>
            <w:r>
              <w:rPr>
                <w:b/>
                <w:color w:val="1E232A"/>
                <w:sz w:val="15"/>
              </w:rPr>
              <w:t>Risk Quantification</w:t>
            </w:r>
          </w:p>
        </w:tc>
        <w:tc>
          <w:tcPr>
            <w:tcW w:type="dxa" w:w="2094"/>
          </w:tcPr>
          <w:p>
            <w:r>
              <w:rPr>
                <w:color w:val="1E232A"/>
                <w:sz w:val="15"/>
              </w:rPr>
              <w:t>Exchange span margin</w:t>
            </w:r>
          </w:p>
        </w:tc>
        <w:tc>
          <w:tcPr>
            <w:tcW w:type="dxa" w:w="2094"/>
          </w:tcPr>
          <w:p>
            <w:r>
              <w:rPr>
                <w:color w:val="1E232A"/>
                <w:sz w:val="15"/>
              </w:rPr>
              <w:t>Static risk labels</w:t>
            </w:r>
          </w:p>
        </w:tc>
        <w:tc>
          <w:tcPr>
            <w:tcW w:type="dxa" w:w="2094"/>
          </w:tcPr>
          <w:p>
            <w:r>
              <w:rPr>
                <w:color w:val="1E232A"/>
                <w:sz w:val="15"/>
              </w:rPr>
              <w:t>Parametric Gaussian VaR</w:t>
            </w:r>
          </w:p>
        </w:tc>
        <w:tc>
          <w:tcPr>
            <w:tcW w:type="dxa" w:w="2094"/>
          </w:tcPr>
          <w:p>
            <w:r>
              <w:rPr>
                <w:b/>
                <w:color w:val="1E232A"/>
                <w:sz w:val="15"/>
              </w:rPr>
              <w:t>Quantum Amplitude Estimation (QAE)</w:t>
            </w:r>
          </w:p>
        </w:tc>
      </w:tr>
      <w:tr>
        <w:tc>
          <w:tcPr>
            <w:tcW w:type="dxa" w:w="2094"/>
          </w:tcPr>
          <w:p>
            <w:r>
              <w:rPr>
                <w:b/>
                <w:color w:val="1E232A"/>
                <w:sz w:val="15"/>
              </w:rPr>
              <w:t>High-Order Factors</w:t>
            </w:r>
          </w:p>
        </w:tc>
        <w:tc>
          <w:tcPr>
            <w:tcW w:type="dxa" w:w="2094"/>
          </w:tcPr>
          <w:p>
            <w:r>
              <w:rPr>
                <w:color w:val="1E232A"/>
                <w:sz w:val="15"/>
              </w:rPr>
              <w:t>Individual indicators</w:t>
            </w:r>
          </w:p>
        </w:tc>
        <w:tc>
          <w:tcPr>
            <w:tcW w:type="dxa" w:w="2094"/>
          </w:tcPr>
          <w:p>
            <w:r>
              <w:rPr>
                <w:color w:val="1E232A"/>
                <w:sz w:val="15"/>
              </w:rPr>
              <w:t>Sector themes</w:t>
            </w:r>
          </w:p>
        </w:tc>
        <w:tc>
          <w:tcPr>
            <w:tcW w:type="dxa" w:w="2094"/>
          </w:tcPr>
          <w:p>
            <w:r>
              <w:rPr>
                <w:color w:val="1E232A"/>
                <w:sz w:val="15"/>
              </w:rPr>
              <w:t>2D Correlation matrix</w:t>
            </w:r>
          </w:p>
        </w:tc>
        <w:tc>
          <w:tcPr>
            <w:tcW w:type="dxa" w:w="2094"/>
          </w:tcPr>
          <w:p>
            <w:r>
              <w:rPr>
                <w:b/>
                <w:color w:val="1E232A"/>
                <w:sz w:val="15"/>
              </w:rPr>
              <w:t>3D Tensor Tucker Decomp (HoSVD)</w:t>
            </w:r>
          </w:p>
        </w:tc>
      </w:tr>
      <w:tr>
        <w:tc>
          <w:tcPr>
            <w:tcW w:type="dxa" w:w="2094"/>
          </w:tcPr>
          <w:p>
            <w:r>
              <w:rPr>
                <w:b/>
                <w:color w:val="1E232A"/>
                <w:sz w:val="15"/>
              </w:rPr>
              <w:t>Fee Optimization</w:t>
            </w:r>
          </w:p>
        </w:tc>
        <w:tc>
          <w:tcPr>
            <w:tcW w:type="dxa" w:w="2094"/>
          </w:tcPr>
          <w:p>
            <w:r>
              <w:rPr>
                <w:color w:val="1E232A"/>
                <w:sz w:val="15"/>
              </w:rPr>
              <w:t>High friction (Overtrading)</w:t>
            </w:r>
          </w:p>
        </w:tc>
        <w:tc>
          <w:tcPr>
            <w:tcW w:type="dxa" w:w="2094"/>
          </w:tcPr>
          <w:p>
            <w:r>
              <w:rPr>
                <w:color w:val="1E232A"/>
                <w:sz w:val="15"/>
              </w:rPr>
              <w:t>Moderate (Manual rebalance)</w:t>
            </w:r>
          </w:p>
        </w:tc>
        <w:tc>
          <w:tcPr>
            <w:tcW w:type="dxa" w:w="2094"/>
          </w:tcPr>
          <w:p>
            <w:r>
              <w:rPr>
                <w:color w:val="1E232A"/>
                <w:sz w:val="15"/>
              </w:rPr>
              <w:t>High turnover drag</w:t>
            </w:r>
          </w:p>
        </w:tc>
        <w:tc>
          <w:tcPr>
            <w:tcW w:type="dxa" w:w="2094"/>
          </w:tcPr>
          <w:p>
            <w:r>
              <w:rPr>
                <w:b/>
                <w:color w:val="1E232A"/>
                <w:sz w:val="15"/>
              </w:rPr>
              <w:t>Cardinal sparsity (6 stocks, 64% cut)</w:t>
            </w:r>
          </w:p>
        </w:tc>
      </w:tr>
      <w:tr>
        <w:tc>
          <w:tcPr>
            <w:tcW w:type="dxa" w:w="2094"/>
          </w:tcPr>
          <w:p>
            <w:r>
              <w:rPr>
                <w:b/>
                <w:color w:val="1E232A"/>
                <w:sz w:val="15"/>
              </w:rPr>
              <w:t>Explainability</w:t>
            </w:r>
          </w:p>
        </w:tc>
        <w:tc>
          <w:tcPr>
            <w:tcW w:type="dxa" w:w="2094"/>
          </w:tcPr>
          <w:p>
            <w:r>
              <w:rPr>
                <w:color w:val="1E232A"/>
                <w:sz w:val="15"/>
              </w:rPr>
              <w:t>Raw jargon &amp; charts</w:t>
            </w:r>
          </w:p>
        </w:tc>
        <w:tc>
          <w:tcPr>
            <w:tcW w:type="dxa" w:w="2094"/>
          </w:tcPr>
          <w:p>
            <w:r>
              <w:rPr>
                <w:color w:val="1E232A"/>
                <w:sz w:val="15"/>
              </w:rPr>
              <w:t>Marketing summaries</w:t>
            </w:r>
          </w:p>
        </w:tc>
        <w:tc>
          <w:tcPr>
            <w:tcW w:type="dxa" w:w="2094"/>
          </w:tcPr>
          <w:p>
            <w:r>
              <w:rPr>
                <w:color w:val="1E232A"/>
                <w:sz w:val="15"/>
              </w:rPr>
              <w:t>Generic FAQ templates</w:t>
            </w:r>
          </w:p>
        </w:tc>
        <w:tc>
          <w:tcPr>
            <w:tcW w:type="dxa" w:w="2094"/>
          </w:tcPr>
          <w:p>
            <w:r>
              <w:rPr>
                <w:b/>
                <w:color w:val="1E232A"/>
                <w:sz w:val="15"/>
              </w:rPr>
              <w:t>Zero-Jargon Multimodal LLM Co-Pilot</w:t>
            </w:r>
          </w:p>
        </w:tc>
      </w:tr>
    </w:tbl>
    <w:p>
      <w:pPr>
        <w:spacing w:before="80" w:after="60" w:line="269" w:lineRule="auto"/>
        <w:jc w:val="left"/>
      </w:pPr>
      <w:r>
        <w:rPr>
          <w:rFonts w:ascii="Times New Roman" w:hAnsi="Times New Roman"/>
          <w:b w:val="0"/>
          <w:i w:val="0"/>
          <w:color w:val="1E232A"/>
          <w:sz w:val="17"/>
        </w:rPr>
      </w:r>
    </w:p>
    <w:p>
      <w:pPr>
        <w:spacing w:before="40" w:after="40"/>
        <w:jc w:val="center"/>
      </w:pPr>
      <w:r>
        <w:drawing>
          <wp:inline xmlns:a="http://schemas.openxmlformats.org/drawingml/2006/main" xmlns:pic="http://schemas.openxmlformats.org/drawingml/2006/picture">
            <wp:extent cx="6217920" cy="1318953"/>
            <wp:docPr id="2" name="Picture 2"/>
            <wp:cNvGraphicFramePr>
              <a:graphicFrameLocks noChangeAspect="1"/>
            </wp:cNvGraphicFramePr>
            <a:graphic>
              <a:graphicData uri="http://schemas.openxmlformats.org/drawingml/2006/picture">
                <pic:pic>
                  <pic:nvPicPr>
                    <pic:cNvPr id="0" name="fig1_pipeline.png"/>
                    <pic:cNvPicPr/>
                  </pic:nvPicPr>
                  <pic:blipFill>
                    <a:blip r:embed="rId12"/>
                    <a:stretch>
                      <a:fillRect/>
                    </a:stretch>
                  </pic:blipFill>
                  <pic:spPr>
                    <a:xfrm>
                      <a:off x="0" y="0"/>
                      <a:ext cx="6217920" cy="1318953"/>
                    </a:xfrm>
                    <a:prstGeom prst="rect"/>
                  </pic:spPr>
                </pic:pic>
              </a:graphicData>
            </a:graphic>
          </wp:inline>
        </w:drawing>
      </w:r>
    </w:p>
    <w:p>
      <w:pPr>
        <w:spacing w:before="0" w:after="60" w:line="269" w:lineRule="auto"/>
        <w:jc w:val="center"/>
      </w:pPr>
      <w:r>
        <w:rPr>
          <w:rFonts w:ascii="Times New Roman" w:hAnsi="Times New Roman"/>
          <w:b w:val="0"/>
          <w:i/>
          <w:color w:val="505A69"/>
          <w:sz w:val="15"/>
        </w:rPr>
        <w:t>Figure 1: Modular computational architecture of SparsioQ, tracing the multi-threaded data ingestion pipeline, feature tensor factorization, mathematical optimization cores, quantum estimation modules, and interactive paper trading execution layer.</w:t>
      </w:r>
    </w:p>
    <w:p>
      <w:r>
        <w:br w:type="page"/>
      </w:r>
    </w:p>
    <w:p>
      <w:pPr>
        <w:spacing w:before="100" w:after="40" w:line="269" w:lineRule="auto"/>
        <w:jc w:val="left"/>
      </w:pPr>
      <w:r>
        <w:rPr>
          <w:rFonts w:ascii="Times New Roman" w:hAnsi="Times New Roman"/>
          <w:b/>
          <w:i w:val="0"/>
          <w:color w:val="0F2A4A"/>
          <w:sz w:val="22"/>
        </w:rPr>
        <w:t>Data Collection, Cleaning &amp; Split Handling</w:t>
      </w:r>
    </w:p>
    <w:p>
      <w:pPr>
        <w:spacing w:before="0" w:after="60" w:line="269" w:lineRule="auto"/>
        <w:jc w:val="left"/>
      </w:pPr>
      <w:r>
        <w:rPr>
          <w:rFonts w:ascii="Times New Roman" w:hAnsi="Times New Roman"/>
          <w:b w:val="0"/>
          <w:i w:val="0"/>
          <w:color w:val="1E232A"/>
          <w:sz w:val="17"/>
        </w:rPr>
        <w:t>Adjusted Prices vs. Traded Prices: All mathematical optimization routines operate strictly on split- and dividend-adjusted closing prices downloaded via the multi-threaded yfinance API for 25 large-cap NSE equities spanning 3,889 trading days (January 2011 to October 2026). Adjusting for corporate actions is critical: when a stock executes a 1:1 bonus issue (e.g., Reliance Industries in October 2024) or a 5-for-1 stock split, unadjusted historical prices drop precipitously overnight, which would otherwise teach models fictitious volatility explosions. Concurrently, an exact unadjusted traded-price feed is maintained in parallel to ensure accurate order fulfillment in the live paper trading engine. Chronological train/validation splits (80% calibration, 20% held-out test) prevent lookahead data leakage.</w:t>
      </w:r>
    </w:p>
    <w:p>
      <w:pPr>
        <w:spacing w:before="100" w:after="40" w:line="269" w:lineRule="auto"/>
        <w:jc w:val="left"/>
      </w:pPr>
      <w:r>
        <w:rPr>
          <w:rFonts w:ascii="Times New Roman" w:hAnsi="Times New Roman"/>
          <w:b/>
          <w:i w:val="0"/>
          <w:color w:val="0F2A4A"/>
          <w:sz w:val="22"/>
        </w:rPr>
        <w:t>5.  Mathematical Foundations &amp; Formulations</w:t>
      </w:r>
    </w:p>
    <w:p>
      <w:pPr>
        <w:spacing w:before="0" w:after="60" w:line="269" w:lineRule="auto"/>
        <w:jc w:val="left"/>
      </w:pPr>
      <w:r>
        <w:rPr>
          <w:rFonts w:ascii="Times New Roman" w:hAnsi="Times New Roman"/>
          <w:b w:val="0"/>
          <w:i w:val="0"/>
          <w:color w:val="1E232A"/>
          <w:sz w:val="17"/>
        </w:rPr>
        <w:t>The core mathematical framework of SparsioQ translates classical and modern analytical results into robust computational algorithms. Below, each formula is formally stated with exact mathematical notation.</w:t>
      </w:r>
    </w:p>
    <w:p>
      <w:pPr>
        <w:spacing w:before="80" w:after="20" w:line="269" w:lineRule="auto"/>
        <w:jc w:val="left"/>
      </w:pPr>
      <w:r>
        <w:rPr>
          <w:rFonts w:ascii="Times New Roman" w:hAnsi="Times New Roman"/>
          <w:b/>
          <w:i w:val="0"/>
          <w:color w:val="335C8D"/>
          <w:sz w:val="19"/>
        </w:rPr>
        <w:t>5.1  L1-Regularized Sparse Markowitz Convex Optimization</w:t>
      </w:r>
    </w:p>
    <w:p>
      <w:pPr>
        <w:spacing w:before="0" w:after="60" w:line="269" w:lineRule="auto"/>
        <w:jc w:val="left"/>
      </w:pPr>
      <w:r>
        <w:rPr>
          <w:rFonts w:ascii="Times New Roman" w:hAnsi="Times New Roman"/>
          <w:b w:val="0"/>
          <w:i w:val="0"/>
          <w:color w:val="1E232A"/>
          <w:sz w:val="17"/>
        </w:rPr>
        <w:t>Let w denote the portfolio allocation vector across N=25 equities, mu the annualized expected asset return vector, and Sigma the symmetric positive semi-definite return covariance matrix. Classical Markowitz mean-variance optimization minimizes total portfolio variance minus gamma times expected return, where gamma represents the investor's risk-tolerance parameter. To penalize transaction friction and force micro-allocations identically to zero, SparsioQ augments the objective with an L1-norm regularization penalty with hyperparameter lambda:</w:t>
      </w:r>
    </w:p>
    <w:tbl>
      <w:tblPr>
        <w:tblW w:type="auto" w:w="0"/>
        <w:jc w:val="center"/>
        <w:tblLook w:firstColumn="1" w:firstRow="1" w:lastColumn="0" w:lastRow="0" w:noHBand="0" w:noVBand="1" w:val="04A0"/>
      </w:tblPr>
      <w:tblGrid>
        <w:gridCol w:w="8640"/>
        <w:gridCol w:w="1152"/>
      </w:tblGrid>
      <w:tr>
        <w:tc>
          <w:tcPr>
            <w:tcW w:type="dxa" w:w="5234"/>
          </w:tcPr>
          <w:p>
            <w:pPr>
              <w:spacing w:before="40" w:after="40"/>
              <w:jc w:val="center"/>
            </w:pPr>
            <w:r>
              <w:drawing>
                <wp:inline xmlns:a="http://schemas.openxmlformats.org/drawingml/2006/main" xmlns:pic="http://schemas.openxmlformats.org/drawingml/2006/picture">
                  <wp:extent cx="4023360" cy="421235"/>
                  <wp:docPr id="3" name="Picture 3"/>
                  <wp:cNvGraphicFramePr>
                    <a:graphicFrameLocks noChangeAspect="1"/>
                  </wp:cNvGraphicFramePr>
                  <a:graphic>
                    <a:graphicData uri="http://schemas.openxmlformats.org/drawingml/2006/picture">
                      <pic:pic>
                        <pic:nvPicPr>
                          <pic:cNvPr id="0" name="eq1.png"/>
                          <pic:cNvPicPr/>
                        </pic:nvPicPr>
                        <pic:blipFill>
                          <a:blip r:embed="rId13"/>
                          <a:stretch>
                            <a:fillRect/>
                          </a:stretch>
                        </pic:blipFill>
                        <pic:spPr>
                          <a:xfrm>
                            <a:off x="0" y="0"/>
                            <a:ext cx="4023360" cy="421235"/>
                          </a:xfrm>
                          <a:prstGeom prst="rect"/>
                        </pic:spPr>
                      </pic:pic>
                    </a:graphicData>
                  </a:graphic>
                </wp:inline>
              </w:drawing>
            </w:r>
          </w:p>
        </w:tc>
        <w:tc>
          <w:tcPr>
            <w:tcW w:type="dxa" w:w="5234"/>
          </w:tcPr>
          <w:p>
            <w:pPr>
              <w:spacing w:before="160" w:after="40"/>
              <w:jc w:val="right"/>
            </w:pPr>
            <w:r>
              <w:rPr>
                <w:rFonts w:ascii="Times New Roman" w:hAnsi="Times New Roman"/>
                <w:b/>
                <w:color w:val="0F2A4A"/>
                <w:sz w:val="20"/>
              </w:rPr>
              <w:t>(1)</w:t>
            </w:r>
          </w:p>
        </w:tc>
      </w:tr>
    </w:tbl>
    <w:p>
      <w:pPr>
        <w:spacing w:before="0" w:after="60" w:line="269" w:lineRule="auto"/>
        <w:jc w:val="left"/>
      </w:pPr>
      <w:r>
        <w:rPr>
          <w:rFonts w:ascii="Times New Roman" w:hAnsi="Times New Roman"/>
          <w:b w:val="0"/>
          <w:i w:val="0"/>
          <w:color w:val="1E232A"/>
          <w:sz w:val="17"/>
        </w:rPr>
        <w:t>Under the standard long-only simplex constraint where weights sum to 1 and are non-negative, the sum of weights is identically 1, rendering the raw L1-norm constant. To achieve localized, threshold-activated sparsity without non-convex combinatorial pseudo-norms, SparsioQ introduces auxiliary slack variables u, reformulating the problem as a standard quadratic program (QP):</w:t>
      </w:r>
    </w:p>
    <w:tbl>
      <w:tblPr>
        <w:tblW w:type="auto" w:w="0"/>
        <w:jc w:val="center"/>
        <w:tblLook w:firstColumn="1" w:firstRow="1" w:lastColumn="0" w:lastRow="0" w:noHBand="0" w:noVBand="1" w:val="04A0"/>
      </w:tblPr>
      <w:tblGrid>
        <w:gridCol w:w="8640"/>
        <w:gridCol w:w="1152"/>
      </w:tblGrid>
      <w:tr>
        <w:tc>
          <w:tcPr>
            <w:tcW w:type="dxa" w:w="5234"/>
          </w:tcPr>
          <w:p>
            <w:pPr>
              <w:spacing w:before="40" w:after="40"/>
              <w:jc w:val="center"/>
            </w:pPr>
            <w:r>
              <w:drawing>
                <wp:inline xmlns:a="http://schemas.openxmlformats.org/drawingml/2006/main" xmlns:pic="http://schemas.openxmlformats.org/drawingml/2006/picture">
                  <wp:extent cx="4389120" cy="420719"/>
                  <wp:docPr id="4" name="Picture 4"/>
                  <wp:cNvGraphicFramePr>
                    <a:graphicFrameLocks noChangeAspect="1"/>
                  </wp:cNvGraphicFramePr>
                  <a:graphic>
                    <a:graphicData uri="http://schemas.openxmlformats.org/drawingml/2006/picture">
                      <pic:pic>
                        <pic:nvPicPr>
                          <pic:cNvPr id="0" name="eq2.png"/>
                          <pic:cNvPicPr/>
                        </pic:nvPicPr>
                        <pic:blipFill>
                          <a:blip r:embed="rId14"/>
                          <a:stretch>
                            <a:fillRect/>
                          </a:stretch>
                        </pic:blipFill>
                        <pic:spPr>
                          <a:xfrm>
                            <a:off x="0" y="0"/>
                            <a:ext cx="4389120" cy="420719"/>
                          </a:xfrm>
                          <a:prstGeom prst="rect"/>
                        </pic:spPr>
                      </pic:pic>
                    </a:graphicData>
                  </a:graphic>
                </wp:inline>
              </w:drawing>
            </w:r>
          </w:p>
        </w:tc>
        <w:tc>
          <w:tcPr>
            <w:tcW w:type="dxa" w:w="5234"/>
          </w:tcPr>
          <w:p>
            <w:pPr>
              <w:spacing w:before="160" w:after="40"/>
              <w:jc w:val="right"/>
            </w:pPr>
            <w:r>
              <w:rPr>
                <w:rFonts w:ascii="Times New Roman" w:hAnsi="Times New Roman"/>
                <w:b/>
                <w:color w:val="0F2A4A"/>
                <w:sz w:val="20"/>
              </w:rPr>
              <w:t>(2)</w:t>
            </w:r>
          </w:p>
        </w:tc>
      </w:tr>
    </w:tbl>
    <w:p>
      <w:pPr>
        <w:spacing w:before="0" w:after="60" w:line="269" w:lineRule="auto"/>
        <w:jc w:val="left"/>
      </w:pPr>
      <w:r>
        <w:rPr>
          <w:rFonts w:ascii="Times New Roman" w:hAnsi="Times New Roman"/>
          <w:b w:val="0"/>
          <w:i w:val="0"/>
          <w:color w:val="1E232A"/>
          <w:sz w:val="17"/>
        </w:rPr>
        <w:t>This formulation is solved via CVXOPT's Primal-Dual Interior-Point algorithm. The Karush-Kuhn-Tucker (KKT) optimality conditions guarantee a unique global optimum satisfying stationarity, primal feasibility, dual feasibility, and complementary slackness:</w:t>
      </w:r>
    </w:p>
    <w:tbl>
      <w:tblPr>
        <w:tblW w:type="auto" w:w="0"/>
        <w:jc w:val="center"/>
        <w:tblLook w:firstColumn="1" w:firstRow="1" w:lastColumn="0" w:lastRow="0" w:noHBand="0" w:noVBand="1" w:val="04A0"/>
      </w:tblPr>
      <w:tblGrid>
        <w:gridCol w:w="8640"/>
        <w:gridCol w:w="1152"/>
      </w:tblGrid>
      <w:tr>
        <w:tc>
          <w:tcPr>
            <w:tcW w:type="dxa" w:w="5234"/>
          </w:tcPr>
          <w:p>
            <w:pPr>
              <w:spacing w:before="40" w:after="40"/>
              <w:jc w:val="center"/>
            </w:pPr>
            <w:r>
              <w:drawing>
                <wp:inline xmlns:a="http://schemas.openxmlformats.org/drawingml/2006/main" xmlns:pic="http://schemas.openxmlformats.org/drawingml/2006/picture">
                  <wp:extent cx="4114800" cy="405193"/>
                  <wp:docPr id="5" name="Picture 5"/>
                  <wp:cNvGraphicFramePr>
                    <a:graphicFrameLocks noChangeAspect="1"/>
                  </wp:cNvGraphicFramePr>
                  <a:graphic>
                    <a:graphicData uri="http://schemas.openxmlformats.org/drawingml/2006/picture">
                      <pic:pic>
                        <pic:nvPicPr>
                          <pic:cNvPr id="0" name="eq3.png"/>
                          <pic:cNvPicPr/>
                        </pic:nvPicPr>
                        <pic:blipFill>
                          <a:blip r:embed="rId15"/>
                          <a:stretch>
                            <a:fillRect/>
                          </a:stretch>
                        </pic:blipFill>
                        <pic:spPr>
                          <a:xfrm>
                            <a:off x="0" y="0"/>
                            <a:ext cx="4114800" cy="405193"/>
                          </a:xfrm>
                          <a:prstGeom prst="rect"/>
                        </pic:spPr>
                      </pic:pic>
                    </a:graphicData>
                  </a:graphic>
                </wp:inline>
              </w:drawing>
            </w:r>
          </w:p>
        </w:tc>
        <w:tc>
          <w:tcPr>
            <w:tcW w:type="dxa" w:w="5234"/>
          </w:tcPr>
          <w:p>
            <w:pPr>
              <w:spacing w:before="160" w:after="40"/>
              <w:jc w:val="right"/>
            </w:pPr>
            <w:r>
              <w:rPr>
                <w:rFonts w:ascii="Times New Roman" w:hAnsi="Times New Roman"/>
                <w:b/>
                <w:color w:val="0F2A4A"/>
                <w:sz w:val="20"/>
              </w:rPr>
              <w:t>(3)</w:t>
            </w:r>
          </w:p>
        </w:tc>
      </w:tr>
    </w:tbl>
    <w:p>
      <w:pPr>
        <w:spacing w:before="80" w:after="20" w:line="269" w:lineRule="auto"/>
        <w:jc w:val="left"/>
      </w:pPr>
      <w:r>
        <w:rPr>
          <w:rFonts w:ascii="Times New Roman" w:hAnsi="Times New Roman"/>
          <w:b/>
          <w:i w:val="0"/>
          <w:color w:val="335C8D"/>
          <w:sz w:val="19"/>
        </w:rPr>
        <w:t>5.2  3-State Gaussian Hidden Markov Model Regime Identification</w:t>
      </w:r>
    </w:p>
    <w:p>
      <w:pPr>
        <w:spacing w:before="0" w:after="60" w:line="269" w:lineRule="auto"/>
        <w:jc w:val="left"/>
      </w:pPr>
      <w:r>
        <w:rPr>
          <w:rFonts w:ascii="Times New Roman" w:hAnsi="Times New Roman"/>
          <w:b w:val="0"/>
          <w:i w:val="0"/>
          <w:color w:val="1E232A"/>
          <w:sz w:val="17"/>
        </w:rPr>
        <w:t>Financial market dynamics exhibit discrete latent states corresponding to Bullish Low-Volatility, Sideways Mean-Reverting, and Bearish Crash regimes. We model the sequence of observed daily log-returns using a discrete-time Hidden Markov Model with continuous Gaussian emission densities:</w:t>
      </w:r>
    </w:p>
    <w:tbl>
      <w:tblPr>
        <w:tblW w:type="auto" w:w="0"/>
        <w:jc w:val="center"/>
        <w:tblLook w:firstColumn="1" w:firstRow="1" w:lastColumn="0" w:lastRow="0" w:noHBand="0" w:noVBand="1" w:val="04A0"/>
      </w:tblPr>
      <w:tblGrid>
        <w:gridCol w:w="8640"/>
        <w:gridCol w:w="1152"/>
      </w:tblGrid>
      <w:tr>
        <w:tc>
          <w:tcPr>
            <w:tcW w:type="dxa" w:w="5234"/>
          </w:tcPr>
          <w:p>
            <w:pPr>
              <w:spacing w:before="40" w:after="40"/>
              <w:jc w:val="center"/>
            </w:pPr>
            <w:r>
              <w:drawing>
                <wp:inline xmlns:a="http://schemas.openxmlformats.org/drawingml/2006/main" xmlns:pic="http://schemas.openxmlformats.org/drawingml/2006/picture">
                  <wp:extent cx="4389120" cy="395703"/>
                  <wp:docPr id="6" name="Picture 6"/>
                  <wp:cNvGraphicFramePr>
                    <a:graphicFrameLocks noChangeAspect="1"/>
                  </wp:cNvGraphicFramePr>
                  <a:graphic>
                    <a:graphicData uri="http://schemas.openxmlformats.org/drawingml/2006/picture">
                      <pic:pic>
                        <pic:nvPicPr>
                          <pic:cNvPr id="0" name="eq4.png"/>
                          <pic:cNvPicPr/>
                        </pic:nvPicPr>
                        <pic:blipFill>
                          <a:blip r:embed="rId16"/>
                          <a:stretch>
                            <a:fillRect/>
                          </a:stretch>
                        </pic:blipFill>
                        <pic:spPr>
                          <a:xfrm>
                            <a:off x="0" y="0"/>
                            <a:ext cx="4389120" cy="395703"/>
                          </a:xfrm>
                          <a:prstGeom prst="rect"/>
                        </pic:spPr>
                      </pic:pic>
                    </a:graphicData>
                  </a:graphic>
                </wp:inline>
              </w:drawing>
            </w:r>
          </w:p>
        </w:tc>
        <w:tc>
          <w:tcPr>
            <w:tcW w:type="dxa" w:w="5234"/>
          </w:tcPr>
          <w:p>
            <w:pPr>
              <w:spacing w:before="160" w:after="40"/>
              <w:jc w:val="right"/>
            </w:pPr>
            <w:r>
              <w:rPr>
                <w:rFonts w:ascii="Times New Roman" w:hAnsi="Times New Roman"/>
                <w:b/>
                <w:color w:val="0F2A4A"/>
                <w:sz w:val="20"/>
              </w:rPr>
              <w:t>(4)</w:t>
            </w:r>
          </w:p>
        </w:tc>
      </w:tr>
    </w:tbl>
    <w:p>
      <w:pPr>
        <w:spacing w:before="0" w:after="60" w:line="269" w:lineRule="auto"/>
        <w:jc w:val="left"/>
      </w:pPr>
      <w:r>
        <w:rPr>
          <w:rFonts w:ascii="Times New Roman" w:hAnsi="Times New Roman"/>
          <w:b w:val="0"/>
          <w:i w:val="0"/>
          <w:color w:val="1E232A"/>
          <w:sz w:val="17"/>
        </w:rPr>
        <w:t>Model parameters are calibrated via the Expectation-Maximization (EM) Baum-Welch algorithm. The forward variable and backward variable compute the smoothed posterior regime occupancy probabilities across time:</w:t>
      </w:r>
    </w:p>
    <w:tbl>
      <w:tblPr>
        <w:tblW w:type="auto" w:w="0"/>
        <w:jc w:val="center"/>
        <w:tblLook w:firstColumn="1" w:firstRow="1" w:lastColumn="0" w:lastRow="0" w:noHBand="0" w:noVBand="1" w:val="04A0"/>
      </w:tblPr>
      <w:tblGrid>
        <w:gridCol w:w="8640"/>
        <w:gridCol w:w="1152"/>
      </w:tblGrid>
      <w:tr>
        <w:tc>
          <w:tcPr>
            <w:tcW w:type="dxa" w:w="5234"/>
          </w:tcPr>
          <w:p>
            <w:pPr>
              <w:spacing w:before="40" w:after="40"/>
              <w:jc w:val="center"/>
            </w:pPr>
            <w:r>
              <w:drawing>
                <wp:inline xmlns:a="http://schemas.openxmlformats.org/drawingml/2006/main" xmlns:pic="http://schemas.openxmlformats.org/drawingml/2006/picture">
                  <wp:extent cx="3291840" cy="412930"/>
                  <wp:docPr id="7" name="Picture 7"/>
                  <wp:cNvGraphicFramePr>
                    <a:graphicFrameLocks noChangeAspect="1"/>
                  </wp:cNvGraphicFramePr>
                  <a:graphic>
                    <a:graphicData uri="http://schemas.openxmlformats.org/drawingml/2006/picture">
                      <pic:pic>
                        <pic:nvPicPr>
                          <pic:cNvPr id="0" name="eq5.png"/>
                          <pic:cNvPicPr/>
                        </pic:nvPicPr>
                        <pic:blipFill>
                          <a:blip r:embed="rId17"/>
                          <a:stretch>
                            <a:fillRect/>
                          </a:stretch>
                        </pic:blipFill>
                        <pic:spPr>
                          <a:xfrm>
                            <a:off x="0" y="0"/>
                            <a:ext cx="3291840" cy="412930"/>
                          </a:xfrm>
                          <a:prstGeom prst="rect"/>
                        </pic:spPr>
                      </pic:pic>
                    </a:graphicData>
                  </a:graphic>
                </wp:inline>
              </w:drawing>
            </w:r>
          </w:p>
        </w:tc>
        <w:tc>
          <w:tcPr>
            <w:tcW w:type="dxa" w:w="5234"/>
          </w:tcPr>
          <w:p>
            <w:pPr>
              <w:spacing w:before="160" w:after="40"/>
              <w:jc w:val="right"/>
            </w:pPr>
            <w:r>
              <w:rPr>
                <w:rFonts w:ascii="Times New Roman" w:hAnsi="Times New Roman"/>
                <w:b/>
                <w:color w:val="0F2A4A"/>
                <w:sz w:val="20"/>
              </w:rPr>
              <w:t>(5)</w:t>
            </w:r>
          </w:p>
        </w:tc>
      </w:tr>
    </w:tbl>
    <w:p>
      <w:pPr>
        <w:spacing w:before="0" w:after="60" w:line="269" w:lineRule="auto"/>
        <w:jc w:val="left"/>
      </w:pPr>
      <w:r>
        <w:rPr>
          <w:rFonts w:ascii="Times New Roman" w:hAnsi="Times New Roman"/>
          <w:b w:val="0"/>
          <w:i w:val="0"/>
          <w:color w:val="1E232A"/>
          <w:sz w:val="17"/>
        </w:rPr>
        <w:t>When the crash regime posterior probability exceeds 40%, SparsioQ automatically triggers dynamic defensive rebalancing, rotating 35% of portfolio equity into virtual cash reserves.</w:t>
      </w:r>
    </w:p>
    <w:p>
      <w:r>
        <w:br w:type="page"/>
      </w:r>
    </w:p>
    <w:p>
      <w:pPr>
        <w:spacing w:before="80" w:after="20" w:line="269" w:lineRule="auto"/>
        <w:jc w:val="left"/>
      </w:pPr>
      <w:r>
        <w:rPr>
          <w:rFonts w:ascii="Times New Roman" w:hAnsi="Times New Roman"/>
          <w:b/>
          <w:i w:val="0"/>
          <w:color w:val="335C8D"/>
          <w:sz w:val="19"/>
        </w:rPr>
        <w:t>5.3  Analytical Black-Scholes Greeks &amp; Volatility Surface</w:t>
      </w:r>
    </w:p>
    <w:p>
      <w:pPr>
        <w:spacing w:before="0" w:after="60" w:line="269" w:lineRule="auto"/>
        <w:jc w:val="left"/>
      </w:pPr>
      <w:r>
        <w:rPr>
          <w:rFonts w:ascii="Times New Roman" w:hAnsi="Times New Roman"/>
          <w:b w:val="0"/>
          <w:i w:val="0"/>
          <w:color w:val="1E232A"/>
          <w:sz w:val="17"/>
        </w:rPr>
        <w:t>To evaluate derivative tail hedging and options risk exposure across candidate equities, SparsioQ computes closed-form Black-Scholes valuations under geometric Brownian motion:</w:t>
      </w:r>
    </w:p>
    <w:tbl>
      <w:tblPr>
        <w:tblW w:type="auto" w:w="0"/>
        <w:jc w:val="center"/>
        <w:tblLook w:firstColumn="1" w:firstRow="1" w:lastColumn="0" w:lastRow="0" w:noHBand="0" w:noVBand="1" w:val="04A0"/>
      </w:tblPr>
      <w:tblGrid>
        <w:gridCol w:w="8640"/>
        <w:gridCol w:w="1152"/>
      </w:tblGrid>
      <w:tr>
        <w:tc>
          <w:tcPr>
            <w:tcW w:type="dxa" w:w="5234"/>
          </w:tcPr>
          <w:p>
            <w:pPr>
              <w:spacing w:before="40" w:after="40"/>
              <w:jc w:val="center"/>
            </w:pPr>
            <w:r>
              <w:drawing>
                <wp:inline xmlns:a="http://schemas.openxmlformats.org/drawingml/2006/main" xmlns:pic="http://schemas.openxmlformats.org/drawingml/2006/picture">
                  <wp:extent cx="4389120" cy="430991"/>
                  <wp:docPr id="8" name="Picture 8"/>
                  <wp:cNvGraphicFramePr>
                    <a:graphicFrameLocks noChangeAspect="1"/>
                  </wp:cNvGraphicFramePr>
                  <a:graphic>
                    <a:graphicData uri="http://schemas.openxmlformats.org/drawingml/2006/picture">
                      <pic:pic>
                        <pic:nvPicPr>
                          <pic:cNvPr id="0" name="eq6.png"/>
                          <pic:cNvPicPr/>
                        </pic:nvPicPr>
                        <pic:blipFill>
                          <a:blip r:embed="rId18"/>
                          <a:stretch>
                            <a:fillRect/>
                          </a:stretch>
                        </pic:blipFill>
                        <pic:spPr>
                          <a:xfrm>
                            <a:off x="0" y="0"/>
                            <a:ext cx="4389120" cy="430991"/>
                          </a:xfrm>
                          <a:prstGeom prst="rect"/>
                        </pic:spPr>
                      </pic:pic>
                    </a:graphicData>
                  </a:graphic>
                </wp:inline>
              </w:drawing>
            </w:r>
          </w:p>
        </w:tc>
        <w:tc>
          <w:tcPr>
            <w:tcW w:type="dxa" w:w="5234"/>
          </w:tcPr>
          <w:p>
            <w:pPr>
              <w:spacing w:before="160" w:after="40"/>
              <w:jc w:val="right"/>
            </w:pPr>
            <w:r>
              <w:rPr>
                <w:rFonts w:ascii="Times New Roman" w:hAnsi="Times New Roman"/>
                <w:b/>
                <w:color w:val="0F2A4A"/>
                <w:sz w:val="20"/>
              </w:rPr>
              <w:t>(6)</w:t>
            </w:r>
          </w:p>
        </w:tc>
      </w:tr>
    </w:tbl>
    <w:p>
      <w:pPr>
        <w:spacing w:before="0" w:after="60" w:line="269" w:lineRule="auto"/>
        <w:jc w:val="left"/>
      </w:pPr>
      <w:r>
        <w:rPr>
          <w:rFonts w:ascii="Times New Roman" w:hAnsi="Times New Roman"/>
          <w:b w:val="0"/>
          <w:i w:val="0"/>
          <w:color w:val="1E232A"/>
          <w:sz w:val="17"/>
        </w:rPr>
        <w:t>Option sensitivities (the Greeks) are evaluated in closed form across strike prices and maturities: Delta measures the rate of price change with respect to underlying price, Gamma captures the curvature, Vega quantifies sensitivity to implied volatility, and Theta models time decay. Together, these sensitivities span a continuous risk surface across the equity option chain.</w:t>
      </w:r>
    </w:p>
    <w:p>
      <w:pPr>
        <w:spacing w:before="80" w:after="20" w:line="269" w:lineRule="auto"/>
        <w:jc w:val="left"/>
      </w:pPr>
      <w:r>
        <w:rPr>
          <w:rFonts w:ascii="Times New Roman" w:hAnsi="Times New Roman"/>
          <w:b/>
          <w:i w:val="0"/>
          <w:color w:val="335C8D"/>
          <w:sz w:val="19"/>
        </w:rPr>
        <w:t>5.4  Quantum Amplitude Estimation (QAE) for Tail Risk Quantification</w:t>
      </w:r>
    </w:p>
    <w:p>
      <w:pPr>
        <w:spacing w:before="0" w:after="60" w:line="269" w:lineRule="auto"/>
        <w:jc w:val="left"/>
      </w:pPr>
      <w:r>
        <w:rPr>
          <w:rFonts w:ascii="Times New Roman" w:hAnsi="Times New Roman"/>
          <w:b w:val="0"/>
          <w:i w:val="0"/>
          <w:color w:val="1E232A"/>
          <w:sz w:val="17"/>
        </w:rPr>
        <w:t>Classical Monte Carlo methods estimate tail risk by drawing pseudo-random samples, yielding an estimation error bound of order O(1/sqrt(M)). For tail probabilities (99% Value-at-Risk), classical convergence requires upwards of 1,000,000 iterations. SparsioQ formulates Quantum Amplitude Estimation (Brassard et al. [5]) utilizing Quantum Phase Estimation over the Grover unitary operator:</w:t>
      </w:r>
    </w:p>
    <w:tbl>
      <w:tblPr>
        <w:tblW w:type="auto" w:w="0"/>
        <w:jc w:val="center"/>
        <w:tblLook w:firstColumn="1" w:firstRow="1" w:lastColumn="0" w:lastRow="0" w:noHBand="0" w:noVBand="1" w:val="04A0"/>
      </w:tblPr>
      <w:tblGrid>
        <w:gridCol w:w="8640"/>
        <w:gridCol w:w="1152"/>
      </w:tblGrid>
      <w:tr>
        <w:tc>
          <w:tcPr>
            <w:tcW w:type="dxa" w:w="5234"/>
          </w:tcPr>
          <w:p>
            <w:pPr>
              <w:spacing w:before="40" w:after="40"/>
              <w:jc w:val="center"/>
            </w:pPr>
            <w:r>
              <w:drawing>
                <wp:inline xmlns:a="http://schemas.openxmlformats.org/drawingml/2006/main" xmlns:pic="http://schemas.openxmlformats.org/drawingml/2006/picture">
                  <wp:extent cx="4023360" cy="421235"/>
                  <wp:docPr id="9" name="Picture 9"/>
                  <wp:cNvGraphicFramePr>
                    <a:graphicFrameLocks noChangeAspect="1"/>
                  </wp:cNvGraphicFramePr>
                  <a:graphic>
                    <a:graphicData uri="http://schemas.openxmlformats.org/drawingml/2006/picture">
                      <pic:pic>
                        <pic:nvPicPr>
                          <pic:cNvPr id="0" name="eq7.png"/>
                          <pic:cNvPicPr/>
                        </pic:nvPicPr>
                        <pic:blipFill>
                          <a:blip r:embed="rId19"/>
                          <a:stretch>
                            <a:fillRect/>
                          </a:stretch>
                        </pic:blipFill>
                        <pic:spPr>
                          <a:xfrm>
                            <a:off x="0" y="0"/>
                            <a:ext cx="4023360" cy="421235"/>
                          </a:xfrm>
                          <a:prstGeom prst="rect"/>
                        </pic:spPr>
                      </pic:pic>
                    </a:graphicData>
                  </a:graphic>
                </wp:inline>
              </w:drawing>
            </w:r>
          </w:p>
        </w:tc>
        <w:tc>
          <w:tcPr>
            <w:tcW w:type="dxa" w:w="5234"/>
          </w:tcPr>
          <w:p>
            <w:pPr>
              <w:spacing w:before="160" w:after="40"/>
              <w:jc w:val="right"/>
            </w:pPr>
            <w:r>
              <w:rPr>
                <w:rFonts w:ascii="Times New Roman" w:hAnsi="Times New Roman"/>
                <w:b/>
                <w:color w:val="0F2A4A"/>
                <w:sz w:val="20"/>
              </w:rPr>
              <w:t>(7)</w:t>
            </w:r>
          </w:p>
        </w:tc>
      </w:tr>
    </w:tbl>
    <w:p>
      <w:pPr>
        <w:spacing w:before="0" w:after="60" w:line="269" w:lineRule="auto"/>
        <w:jc w:val="left"/>
      </w:pPr>
      <w:r>
        <w:rPr>
          <w:rFonts w:ascii="Times New Roman" w:hAnsi="Times New Roman"/>
          <w:b w:val="0"/>
          <w:i w:val="0"/>
          <w:color w:val="1E232A"/>
          <w:sz w:val="17"/>
        </w:rPr>
        <w:t>This operator provides an asymptotic quadratic speedup of order O(1/M), reducing the number of evaluations needed to achieve precision 0.001 from 1,000,000 to only 1,024 quantum evaluations.</w:t>
      </w:r>
    </w:p>
    <w:p>
      <w:pPr>
        <w:spacing w:before="80" w:after="20" w:line="269" w:lineRule="auto"/>
        <w:jc w:val="left"/>
      </w:pPr>
      <w:r>
        <w:rPr>
          <w:rFonts w:ascii="Times New Roman" w:hAnsi="Times New Roman"/>
          <w:b/>
          <w:i w:val="0"/>
          <w:color w:val="335C8D"/>
          <w:sz w:val="19"/>
        </w:rPr>
        <w:t>5.5  3D Tensor Tucker Decomposition (Higher-Order SVD)</w:t>
      </w:r>
    </w:p>
    <w:p>
      <w:pPr>
        <w:spacing w:before="0" w:after="60" w:line="269" w:lineRule="auto"/>
        <w:jc w:val="left"/>
      </w:pPr>
      <w:r>
        <w:rPr>
          <w:rFonts w:ascii="Times New Roman" w:hAnsi="Times New Roman"/>
          <w:b w:val="0"/>
          <w:i w:val="0"/>
          <w:color w:val="1E232A"/>
          <w:sz w:val="17"/>
        </w:rPr>
        <w:t>Cross-asset multi-horizon interactions are represented as a 3rd-order tensor of dimensions 25 assets by 5 technical indicators (RSI, ATR, MACD, Volume, Volatility) by 60 lookback days. SparsioQ performs Tucker Higher-Order SVD, decomposing the tensor into a dense core tensor and orthogonal factor matrices:</w:t>
      </w:r>
    </w:p>
    <w:tbl>
      <w:tblPr>
        <w:tblW w:type="auto" w:w="0"/>
        <w:jc w:val="center"/>
        <w:tblLook w:firstColumn="1" w:firstRow="1" w:lastColumn="0" w:lastRow="0" w:noHBand="0" w:noVBand="1" w:val="04A0"/>
      </w:tblPr>
      <w:tblGrid>
        <w:gridCol w:w="8640"/>
        <w:gridCol w:w="1152"/>
      </w:tblGrid>
      <w:tr>
        <w:tc>
          <w:tcPr>
            <w:tcW w:type="dxa" w:w="5234"/>
          </w:tcPr>
          <w:p>
            <w:pPr>
              <w:spacing w:before="40" w:after="40"/>
              <w:jc w:val="center"/>
            </w:pPr>
            <w:r>
              <w:drawing>
                <wp:inline xmlns:a="http://schemas.openxmlformats.org/drawingml/2006/main" xmlns:pic="http://schemas.openxmlformats.org/drawingml/2006/picture">
                  <wp:extent cx="4389120" cy="405365"/>
                  <wp:docPr id="10" name="Picture 10"/>
                  <wp:cNvGraphicFramePr>
                    <a:graphicFrameLocks noChangeAspect="1"/>
                  </wp:cNvGraphicFramePr>
                  <a:graphic>
                    <a:graphicData uri="http://schemas.openxmlformats.org/drawingml/2006/picture">
                      <pic:pic>
                        <pic:nvPicPr>
                          <pic:cNvPr id="0" name="eq8.png"/>
                          <pic:cNvPicPr/>
                        </pic:nvPicPr>
                        <pic:blipFill>
                          <a:blip r:embed="rId20"/>
                          <a:stretch>
                            <a:fillRect/>
                          </a:stretch>
                        </pic:blipFill>
                        <pic:spPr>
                          <a:xfrm>
                            <a:off x="0" y="0"/>
                            <a:ext cx="4389120" cy="405365"/>
                          </a:xfrm>
                          <a:prstGeom prst="rect"/>
                        </pic:spPr>
                      </pic:pic>
                    </a:graphicData>
                  </a:graphic>
                </wp:inline>
              </w:drawing>
            </w:r>
          </w:p>
        </w:tc>
        <w:tc>
          <w:tcPr>
            <w:tcW w:type="dxa" w:w="5234"/>
          </w:tcPr>
          <w:p>
            <w:pPr>
              <w:spacing w:before="160" w:after="40"/>
              <w:jc w:val="right"/>
            </w:pPr>
            <w:r>
              <w:rPr>
                <w:rFonts w:ascii="Times New Roman" w:hAnsi="Times New Roman"/>
                <w:b/>
                <w:color w:val="0F2A4A"/>
                <w:sz w:val="20"/>
              </w:rPr>
              <w:t>(8)</w:t>
            </w:r>
          </w:p>
        </w:tc>
      </w:tr>
    </w:tbl>
    <w:p>
      <w:pPr>
        <w:spacing w:before="0" w:after="60" w:line="269" w:lineRule="auto"/>
        <w:jc w:val="left"/>
      </w:pPr>
      <w:r>
        <w:rPr>
          <w:rFonts w:ascii="Times New Roman" w:hAnsi="Times New Roman"/>
          <w:b w:val="0"/>
          <w:i w:val="0"/>
          <w:color w:val="1E232A"/>
          <w:sz w:val="17"/>
        </w:rPr>
        <w:t>This multilinear projection strips idiosyncratic noise from the cross-asset correlation structure before covariance estimation.</w:t>
      </w:r>
    </w:p>
    <w:p>
      <w:pPr>
        <w:spacing w:before="100" w:after="40" w:line="269" w:lineRule="auto"/>
        <w:jc w:val="left"/>
      </w:pPr>
      <w:r>
        <w:rPr>
          <w:rFonts w:ascii="Times New Roman" w:hAnsi="Times New Roman"/>
          <w:b/>
          <w:i w:val="0"/>
          <w:color w:val="0F2A4A"/>
          <w:sz w:val="22"/>
        </w:rPr>
        <w:t>6.  Methodology &amp; System Architecture</w:t>
      </w:r>
    </w:p>
    <w:p>
      <w:pPr>
        <w:spacing w:before="0" w:after="60" w:line="269" w:lineRule="auto"/>
        <w:jc w:val="left"/>
      </w:pPr>
      <w:r>
        <w:rPr>
          <w:rFonts w:ascii="Times New Roman" w:hAnsi="Times New Roman"/>
          <w:b w:val="0"/>
          <w:i w:val="0"/>
          <w:color w:val="1E232A"/>
          <w:sz w:val="17"/>
        </w:rPr>
        <w:t>The end-to-end SparsioQ execution architecture operates across four synchronized stages: (1) Streaming Ingestion Layer utilizing multi-threaded yfinance with 60s TTL memory caching; (2) Convex Optimization Core executing CVXOPT quadratic programs with user-selected risk tolerances; (3) Regime Adaptation Core dynamically re-weighting equity beta against cash hedges; and (4) Stateful Paper Trading Engine with real-time portfolio performance tracking.</w:t>
      </w:r>
    </w:p>
    <w:tbl>
      <w:tblPr>
        <w:tblW w:type="auto" w:w="0"/>
        <w:jc w:val="center"/>
        <w:tblLook w:firstColumn="1" w:firstRow="1" w:lastColumn="0" w:lastRow="0" w:noHBand="0" w:noVBand="1" w:val="04A0"/>
      </w:tblPr>
      <w:tblGrid>
        <w:gridCol w:w="5234"/>
        <w:gridCol w:w="5234"/>
      </w:tblGrid>
      <w:tr>
        <w:tc>
          <w:tcPr>
            <w:tcW w:type="dxa" w:w="5234"/>
          </w:tcPr>
          <w:p>
            <w:pPr>
              <w:jc w:val="center"/>
            </w:pPr>
            <w:r>
              <w:drawing>
                <wp:inline xmlns:a="http://schemas.openxmlformats.org/drawingml/2006/main" xmlns:pic="http://schemas.openxmlformats.org/drawingml/2006/picture">
                  <wp:extent cx="3063240" cy="1610409"/>
                  <wp:docPr id="11" name="Picture 11"/>
                  <wp:cNvGraphicFramePr>
                    <a:graphicFrameLocks noChangeAspect="1"/>
                  </wp:cNvGraphicFramePr>
                  <a:graphic>
                    <a:graphicData uri="http://schemas.openxmlformats.org/drawingml/2006/picture">
                      <pic:pic>
                        <pic:nvPicPr>
                          <pic:cNvPr id="0" name="fig2_frontier.png"/>
                          <pic:cNvPicPr/>
                        </pic:nvPicPr>
                        <pic:blipFill>
                          <a:blip r:embed="rId21"/>
                          <a:stretch>
                            <a:fillRect/>
                          </a:stretch>
                        </pic:blipFill>
                        <pic:spPr>
                          <a:xfrm>
                            <a:off x="0" y="0"/>
                            <a:ext cx="3063240" cy="1610409"/>
                          </a:xfrm>
                          <a:prstGeom prst="rect"/>
                        </pic:spPr>
                      </pic:pic>
                    </a:graphicData>
                  </a:graphic>
                </wp:inline>
              </w:drawing>
            </w:r>
          </w:p>
        </w:tc>
        <w:tc>
          <w:tcPr>
            <w:tcW w:type="dxa" w:w="5234"/>
          </w:tcPr>
          <w:p>
            <w:pPr>
              <w:jc w:val="center"/>
            </w:pPr>
            <w:r>
              <w:drawing>
                <wp:inline xmlns:a="http://schemas.openxmlformats.org/drawingml/2006/main" xmlns:pic="http://schemas.openxmlformats.org/drawingml/2006/picture">
                  <wp:extent cx="3063240" cy="1613145"/>
                  <wp:docPr id="12" name="Picture 12"/>
                  <wp:cNvGraphicFramePr>
                    <a:graphicFrameLocks noChangeAspect="1"/>
                  </wp:cNvGraphicFramePr>
                  <a:graphic>
                    <a:graphicData uri="http://schemas.openxmlformats.org/drawingml/2006/picture">
                      <pic:pic>
                        <pic:nvPicPr>
                          <pic:cNvPr id="0" name="fig3_hmm.png"/>
                          <pic:cNvPicPr/>
                        </pic:nvPicPr>
                        <pic:blipFill>
                          <a:blip r:embed="rId22"/>
                          <a:stretch>
                            <a:fillRect/>
                          </a:stretch>
                        </pic:blipFill>
                        <pic:spPr>
                          <a:xfrm>
                            <a:off x="0" y="0"/>
                            <a:ext cx="3063240" cy="1613145"/>
                          </a:xfrm>
                          <a:prstGeom prst="rect"/>
                        </pic:spPr>
                      </pic:pic>
                    </a:graphicData>
                  </a:graphic>
                </wp:inline>
              </w:drawing>
            </w:r>
          </w:p>
        </w:tc>
      </w:tr>
    </w:tbl>
    <w:p>
      <w:pPr>
        <w:spacing w:before="0" w:after="60" w:line="269" w:lineRule="auto"/>
        <w:jc w:val="center"/>
      </w:pPr>
      <w:r>
        <w:rPr>
          <w:rFonts w:ascii="Times New Roman" w:hAnsi="Times New Roman"/>
          <w:b w:val="0"/>
          <w:i/>
          <w:color w:val="505A69"/>
          <w:sz w:val="15"/>
        </w:rPr>
        <w:t>Figures 2 &amp; 3: (Left) Markowitz Efficient Frontier with individual asset risk-return scatter and KKT-optimal portfolios across risk profiles. (Right) 3-State Gaussian HMM market regime segmentation over historical NIFTY 50 price trajectory.</w:t>
      </w:r>
    </w:p>
    <w:p>
      <w:r>
        <w:br w:type="page"/>
      </w:r>
    </w:p>
    <w:p>
      <w:pPr>
        <w:spacing w:before="100" w:after="40" w:line="269" w:lineRule="auto"/>
        <w:jc w:val="left"/>
      </w:pPr>
      <w:r>
        <w:rPr>
          <w:rFonts w:ascii="Times New Roman" w:hAnsi="Times New Roman"/>
          <w:b/>
          <w:i w:val="0"/>
          <w:color w:val="0F2A4A"/>
          <w:sz w:val="22"/>
        </w:rPr>
        <w:t>7.  Implementation, Tech Stack &amp; Settings</w:t>
      </w:r>
    </w:p>
    <w:p>
      <w:pPr>
        <w:spacing w:before="0" w:after="60" w:line="269" w:lineRule="auto"/>
        <w:jc w:val="left"/>
      </w:pPr>
      <w:r>
        <w:rPr>
          <w:rFonts w:ascii="Times New Roman" w:hAnsi="Times New Roman"/>
          <w:b w:val="0"/>
          <w:i w:val="0"/>
          <w:color w:val="1E232A"/>
          <w:sz w:val="17"/>
        </w:rPr>
        <w:t>SparsioQ is implemented in modular Python 3.11+ and deployed as a high-performance web platform on Streamlit Cloud. Tables 3 and 4 document the production software stack and calibrated algorithmic hyperparameters.</w:t>
      </w:r>
    </w:p>
    <w:p>
      <w:pPr>
        <w:spacing w:before="0" w:after="60" w:line="269" w:lineRule="auto"/>
        <w:jc w:val="left"/>
      </w:pPr>
      <w:r>
        <w:rPr>
          <w:rFonts w:ascii="Times New Roman" w:hAnsi="Times New Roman"/>
          <w:b/>
          <w:i w:val="0"/>
          <w:color w:val="0F2A4A"/>
          <w:sz w:val="17"/>
        </w:rPr>
        <w:t>Table 3: Production Technology Stack &amp; Architectural Specifications</w:t>
      </w:r>
    </w:p>
    <w:tbl>
      <w:tblPr>
        <w:tblW w:type="auto" w:w="0"/>
        <w:jc w:val="center"/>
        <w:tblLook w:firstColumn="1" w:firstRow="1" w:lastColumn="0" w:lastRow="0" w:noHBand="0" w:noVBand="1" w:val="04A0"/>
      </w:tblPr>
      <w:tblGrid>
        <w:gridCol w:w="2617"/>
        <w:gridCol w:w="2617"/>
        <w:gridCol w:w="2617"/>
        <w:gridCol w:w="2617"/>
      </w:tblGrid>
      <w:tr>
        <w:tc>
          <w:tcPr>
            <w:tcW w:type="dxa" w:w="2617"/>
          </w:tcPr>
          <w:p>
            <w:r>
              <w:rPr>
                <w:b/>
                <w:color w:val="0F2A4A"/>
                <w:sz w:val="16"/>
              </w:rPr>
              <w:t>Module / Layer</w:t>
            </w:r>
          </w:p>
        </w:tc>
        <w:tc>
          <w:tcPr>
            <w:tcW w:type="dxa" w:w="2617"/>
          </w:tcPr>
          <w:p>
            <w:r>
              <w:rPr>
                <w:b/>
                <w:color w:val="0F2A4A"/>
                <w:sz w:val="16"/>
              </w:rPr>
              <w:t>Framework / Library</w:t>
            </w:r>
          </w:p>
        </w:tc>
        <w:tc>
          <w:tcPr>
            <w:tcW w:type="dxa" w:w="2617"/>
          </w:tcPr>
          <w:p>
            <w:r>
              <w:rPr>
                <w:b/>
                <w:color w:val="0F2A4A"/>
                <w:sz w:val="16"/>
              </w:rPr>
              <w:t>Version</w:t>
            </w:r>
          </w:p>
        </w:tc>
        <w:tc>
          <w:tcPr>
            <w:tcW w:type="dxa" w:w="2617"/>
          </w:tcPr>
          <w:p>
            <w:r>
              <w:rPr>
                <w:b/>
                <w:color w:val="0F2A4A"/>
                <w:sz w:val="16"/>
              </w:rPr>
              <w:t>Operational Role in Engine</w:t>
            </w:r>
          </w:p>
        </w:tc>
      </w:tr>
      <w:tr>
        <w:tc>
          <w:tcPr>
            <w:tcW w:type="dxa" w:w="2617"/>
          </w:tcPr>
          <w:p>
            <w:r>
              <w:rPr>
                <w:b/>
                <w:color w:val="1E232A"/>
                <w:sz w:val="15"/>
              </w:rPr>
              <w:t>Web Presentation</w:t>
            </w:r>
          </w:p>
        </w:tc>
        <w:tc>
          <w:tcPr>
            <w:tcW w:type="dxa" w:w="2617"/>
          </w:tcPr>
          <w:p>
            <w:r>
              <w:rPr>
                <w:color w:val="1E232A"/>
                <w:sz w:val="15"/>
              </w:rPr>
              <w:t>Streamlit Cloud / React</w:t>
            </w:r>
          </w:p>
        </w:tc>
        <w:tc>
          <w:tcPr>
            <w:tcW w:type="dxa" w:w="2617"/>
          </w:tcPr>
          <w:p>
            <w:r>
              <w:rPr>
                <w:color w:val="1E232A"/>
                <w:sz w:val="15"/>
              </w:rPr>
              <w:t>v1.40.0</w:t>
            </w:r>
          </w:p>
        </w:tc>
        <w:tc>
          <w:tcPr>
            <w:tcW w:type="dxa" w:w="2617"/>
          </w:tcPr>
          <w:p>
            <w:r>
              <w:rPr>
                <w:color w:val="1E232A"/>
                <w:sz w:val="15"/>
              </w:rPr>
              <w:t>Reactive, single-page stateful trading dashboard</w:t>
            </w:r>
          </w:p>
        </w:tc>
      </w:tr>
      <w:tr>
        <w:tc>
          <w:tcPr>
            <w:tcW w:type="dxa" w:w="2617"/>
          </w:tcPr>
          <w:p>
            <w:r>
              <w:rPr>
                <w:b/>
                <w:color w:val="1E232A"/>
                <w:sz w:val="15"/>
              </w:rPr>
              <w:t>Convex Solver</w:t>
            </w:r>
          </w:p>
        </w:tc>
        <w:tc>
          <w:tcPr>
            <w:tcW w:type="dxa" w:w="2617"/>
          </w:tcPr>
          <w:p>
            <w:r>
              <w:rPr>
                <w:color w:val="1E232A"/>
                <w:sz w:val="15"/>
              </w:rPr>
              <w:t>CVXOPT / NumPy</w:t>
            </w:r>
          </w:p>
        </w:tc>
        <w:tc>
          <w:tcPr>
            <w:tcW w:type="dxa" w:w="2617"/>
          </w:tcPr>
          <w:p>
            <w:r>
              <w:rPr>
                <w:color w:val="1E232A"/>
                <w:sz w:val="15"/>
              </w:rPr>
              <w:t>v1.3.2 / v1.26</w:t>
            </w:r>
          </w:p>
        </w:tc>
        <w:tc>
          <w:tcPr>
            <w:tcW w:type="dxa" w:w="2617"/>
          </w:tcPr>
          <w:p>
            <w:r>
              <w:rPr>
                <w:color w:val="1E232A"/>
                <w:sz w:val="15"/>
              </w:rPr>
              <w:t>Primal-dual interior-point quadratic cone solver</w:t>
            </w:r>
          </w:p>
        </w:tc>
      </w:tr>
      <w:tr>
        <w:tc>
          <w:tcPr>
            <w:tcW w:type="dxa" w:w="2617"/>
          </w:tcPr>
          <w:p>
            <w:r>
              <w:rPr>
                <w:b/>
                <w:color w:val="1E232A"/>
                <w:sz w:val="15"/>
              </w:rPr>
              <w:t>Regime Modeling</w:t>
            </w:r>
          </w:p>
        </w:tc>
        <w:tc>
          <w:tcPr>
            <w:tcW w:type="dxa" w:w="2617"/>
          </w:tcPr>
          <w:p>
            <w:r>
              <w:rPr>
                <w:color w:val="1E232A"/>
                <w:sz w:val="15"/>
              </w:rPr>
              <w:t>hmmlearn / Scikit-Learn</w:t>
            </w:r>
          </w:p>
        </w:tc>
        <w:tc>
          <w:tcPr>
            <w:tcW w:type="dxa" w:w="2617"/>
          </w:tcPr>
          <w:p>
            <w:r>
              <w:rPr>
                <w:color w:val="1E232A"/>
                <w:sz w:val="15"/>
              </w:rPr>
              <w:t>v0.3.3 / v1.5</w:t>
            </w:r>
          </w:p>
        </w:tc>
        <w:tc>
          <w:tcPr>
            <w:tcW w:type="dxa" w:w="2617"/>
          </w:tcPr>
          <w:p>
            <w:r>
              <w:rPr>
                <w:color w:val="1E232A"/>
                <w:sz w:val="15"/>
              </w:rPr>
              <w:t>3-state Gaussian HMM calibration via Baum-Welch EM</w:t>
            </w:r>
          </w:p>
        </w:tc>
      </w:tr>
      <w:tr>
        <w:tc>
          <w:tcPr>
            <w:tcW w:type="dxa" w:w="2617"/>
          </w:tcPr>
          <w:p>
            <w:r>
              <w:rPr>
                <w:b/>
                <w:color w:val="1E232A"/>
                <w:sz w:val="15"/>
              </w:rPr>
              <w:t>Quantum Circuit</w:t>
            </w:r>
          </w:p>
        </w:tc>
        <w:tc>
          <w:tcPr>
            <w:tcW w:type="dxa" w:w="2617"/>
          </w:tcPr>
          <w:p>
            <w:r>
              <w:rPr>
                <w:color w:val="1E232A"/>
                <w:sz w:val="15"/>
              </w:rPr>
              <w:t>Qiskit / NumPy Simulator</w:t>
            </w:r>
          </w:p>
        </w:tc>
        <w:tc>
          <w:tcPr>
            <w:tcW w:type="dxa" w:w="2617"/>
          </w:tcPr>
          <w:p>
            <w:r>
              <w:rPr>
                <w:color w:val="1E232A"/>
                <w:sz w:val="15"/>
              </w:rPr>
              <w:t>v1.2.0</w:t>
            </w:r>
          </w:p>
        </w:tc>
        <w:tc>
          <w:tcPr>
            <w:tcW w:type="dxa" w:w="2617"/>
          </w:tcPr>
          <w:p>
            <w:r>
              <w:rPr>
                <w:color w:val="1E232A"/>
                <w:sz w:val="15"/>
              </w:rPr>
              <w:t>Quantum Amplitude Estimation (QAE) circuits</w:t>
            </w:r>
          </w:p>
        </w:tc>
      </w:tr>
      <w:tr>
        <w:tc>
          <w:tcPr>
            <w:tcW w:type="dxa" w:w="2617"/>
          </w:tcPr>
          <w:p>
            <w:r>
              <w:rPr>
                <w:b/>
                <w:color w:val="1E232A"/>
                <w:sz w:val="15"/>
              </w:rPr>
              <w:t>Tensor Engine</w:t>
            </w:r>
          </w:p>
        </w:tc>
        <w:tc>
          <w:tcPr>
            <w:tcW w:type="dxa" w:w="2617"/>
          </w:tcPr>
          <w:p>
            <w:r>
              <w:rPr>
                <w:color w:val="1E232A"/>
                <w:sz w:val="15"/>
              </w:rPr>
              <w:t>TensorLy / SciPy</w:t>
            </w:r>
          </w:p>
        </w:tc>
        <w:tc>
          <w:tcPr>
            <w:tcW w:type="dxa" w:w="2617"/>
          </w:tcPr>
          <w:p>
            <w:r>
              <w:rPr>
                <w:color w:val="1E232A"/>
                <w:sz w:val="15"/>
              </w:rPr>
              <w:t>v0.8.1 / v1.13</w:t>
            </w:r>
          </w:p>
        </w:tc>
        <w:tc>
          <w:tcPr>
            <w:tcW w:type="dxa" w:w="2617"/>
          </w:tcPr>
          <w:p>
            <w:r>
              <w:rPr>
                <w:color w:val="1E232A"/>
                <w:sz w:val="15"/>
              </w:rPr>
              <w:t>3D Tucker Higher-Order SVD factor extraction</w:t>
            </w:r>
          </w:p>
        </w:tc>
      </w:tr>
      <w:tr>
        <w:tc>
          <w:tcPr>
            <w:tcW w:type="dxa" w:w="2617"/>
          </w:tcPr>
          <w:p>
            <w:r>
              <w:rPr>
                <w:b/>
                <w:color w:val="1E232A"/>
                <w:sz w:val="15"/>
              </w:rPr>
              <w:t>Market Ingestion</w:t>
            </w:r>
          </w:p>
        </w:tc>
        <w:tc>
          <w:tcPr>
            <w:tcW w:type="dxa" w:w="2617"/>
          </w:tcPr>
          <w:p>
            <w:r>
              <w:rPr>
                <w:color w:val="1E232A"/>
                <w:sz w:val="15"/>
              </w:rPr>
              <w:t>yfinance / Pandas</w:t>
            </w:r>
          </w:p>
        </w:tc>
        <w:tc>
          <w:tcPr>
            <w:tcW w:type="dxa" w:w="2617"/>
          </w:tcPr>
          <w:p>
            <w:r>
              <w:rPr>
                <w:color w:val="1E232A"/>
                <w:sz w:val="15"/>
              </w:rPr>
              <w:t>v0.2.40 / v2.2</w:t>
            </w:r>
          </w:p>
        </w:tc>
        <w:tc>
          <w:tcPr>
            <w:tcW w:type="dxa" w:w="2617"/>
          </w:tcPr>
          <w:p>
            <w:r>
              <w:rPr>
                <w:color w:val="1E232A"/>
                <w:sz w:val="15"/>
              </w:rPr>
              <w:t>Multi-threaded batch data ingestion with 60s TTL cache</w:t>
            </w:r>
          </w:p>
        </w:tc>
      </w:tr>
      <w:tr>
        <w:tc>
          <w:tcPr>
            <w:tcW w:type="dxa" w:w="2617"/>
          </w:tcPr>
          <w:p>
            <w:r>
              <w:rPr>
                <w:b/>
                <w:color w:val="1E232A"/>
                <w:sz w:val="15"/>
              </w:rPr>
              <w:t>Multimodal AI</w:t>
            </w:r>
          </w:p>
        </w:tc>
        <w:tc>
          <w:tcPr>
            <w:tcW w:type="dxa" w:w="2617"/>
          </w:tcPr>
          <w:p>
            <w:r>
              <w:rPr>
                <w:color w:val="1E232A"/>
                <w:sz w:val="15"/>
              </w:rPr>
              <w:t>Gemini 2.5 Flash / Groq LLM</w:t>
            </w:r>
          </w:p>
        </w:tc>
        <w:tc>
          <w:tcPr>
            <w:tcW w:type="dxa" w:w="2617"/>
          </w:tcPr>
          <w:p>
            <w:r>
              <w:rPr>
                <w:color w:val="1E232A"/>
                <w:sz w:val="15"/>
              </w:rPr>
              <w:t>REST API</w:t>
            </w:r>
          </w:p>
        </w:tc>
        <w:tc>
          <w:tcPr>
            <w:tcW w:type="dxa" w:w="2617"/>
          </w:tcPr>
          <w:p>
            <w:r>
              <w:rPr>
                <w:color w:val="1E232A"/>
                <w:sz w:val="15"/>
              </w:rPr>
              <w:t>Zero-jargon financial reasoning &amp; report generation</w:t>
            </w:r>
          </w:p>
        </w:tc>
      </w:tr>
    </w:tbl>
    <w:p>
      <w:pPr>
        <w:spacing w:before="80" w:after="60" w:line="269" w:lineRule="auto"/>
        <w:jc w:val="left"/>
      </w:pPr>
      <w:r>
        <w:rPr>
          <w:rFonts w:ascii="Times New Roman" w:hAnsi="Times New Roman"/>
          <w:b w:val="0"/>
          <w:i w:val="0"/>
          <w:color w:val="1E232A"/>
          <w:sz w:val="17"/>
        </w:rPr>
      </w:r>
    </w:p>
    <w:p>
      <w:pPr>
        <w:spacing w:before="0" w:after="60" w:line="269" w:lineRule="auto"/>
        <w:jc w:val="left"/>
      </w:pPr>
      <w:r>
        <w:rPr>
          <w:rFonts w:ascii="Times New Roman" w:hAnsi="Times New Roman"/>
          <w:b/>
          <w:i w:val="0"/>
          <w:color w:val="0F2A4A"/>
          <w:sz w:val="17"/>
        </w:rPr>
        <w:t>Table 4: Algorithmic Calibrations, Hyperparameters &amp; Model Settings</w:t>
      </w:r>
    </w:p>
    <w:tbl>
      <w:tblPr>
        <w:tblW w:type="auto" w:w="0"/>
        <w:jc w:val="center"/>
        <w:tblLook w:firstColumn="1" w:firstRow="1" w:lastColumn="0" w:lastRow="0" w:noHBand="0" w:noVBand="1" w:val="04A0"/>
      </w:tblPr>
      <w:tblGrid>
        <w:gridCol w:w="2617"/>
        <w:gridCol w:w="2617"/>
        <w:gridCol w:w="2617"/>
        <w:gridCol w:w="2617"/>
      </w:tblGrid>
      <w:tr>
        <w:tc>
          <w:tcPr>
            <w:tcW w:type="dxa" w:w="2617"/>
          </w:tcPr>
          <w:p>
            <w:r>
              <w:rPr>
                <w:b/>
                <w:color w:val="0F2A4A"/>
                <w:sz w:val="16"/>
              </w:rPr>
              <w:t>Parameter Name</w:t>
            </w:r>
          </w:p>
        </w:tc>
        <w:tc>
          <w:tcPr>
            <w:tcW w:type="dxa" w:w="2617"/>
          </w:tcPr>
          <w:p>
            <w:r>
              <w:rPr>
                <w:b/>
                <w:color w:val="0F2A4A"/>
                <w:sz w:val="16"/>
              </w:rPr>
              <w:t>Symbol</w:t>
            </w:r>
          </w:p>
        </w:tc>
        <w:tc>
          <w:tcPr>
            <w:tcW w:type="dxa" w:w="2617"/>
          </w:tcPr>
          <w:p>
            <w:r>
              <w:rPr>
                <w:b/>
                <w:color w:val="0F2A4A"/>
                <w:sz w:val="16"/>
              </w:rPr>
              <w:t>Calibrated Value</w:t>
            </w:r>
          </w:p>
        </w:tc>
        <w:tc>
          <w:tcPr>
            <w:tcW w:type="dxa" w:w="2617"/>
          </w:tcPr>
          <w:p>
            <w:r>
              <w:rPr>
                <w:b/>
                <w:color w:val="0F2A4A"/>
                <w:sz w:val="16"/>
              </w:rPr>
              <w:t>Mathematical &amp; Practical Rationale</w:t>
            </w:r>
          </w:p>
        </w:tc>
      </w:tr>
      <w:tr>
        <w:tc>
          <w:tcPr>
            <w:tcW w:type="dxa" w:w="2617"/>
          </w:tcPr>
          <w:p>
            <w:r>
              <w:rPr>
                <w:b/>
                <w:color w:val="1E232A"/>
                <w:sz w:val="15"/>
              </w:rPr>
              <w:t>L1 Penalty</w:t>
            </w:r>
          </w:p>
        </w:tc>
        <w:tc>
          <w:tcPr>
            <w:tcW w:type="dxa" w:w="2617"/>
          </w:tcPr>
          <w:p>
            <w:r>
              <w:rPr>
                <w:color w:val="1E232A"/>
                <w:sz w:val="15"/>
              </w:rPr>
              <w:t>lambda</w:t>
            </w:r>
          </w:p>
        </w:tc>
        <w:tc>
          <w:tcPr>
            <w:tcW w:type="dxa" w:w="2617"/>
          </w:tcPr>
          <w:p>
            <w:r>
              <w:rPr>
                <w:color w:val="1E232A"/>
                <w:sz w:val="15"/>
              </w:rPr>
              <w:t>0.095</w:t>
            </w:r>
          </w:p>
        </w:tc>
        <w:tc>
          <w:tcPr>
            <w:tcW w:type="dxa" w:w="2617"/>
          </w:tcPr>
          <w:p>
            <w:r>
              <w:rPr>
                <w:color w:val="1E232A"/>
                <w:sz w:val="15"/>
              </w:rPr>
              <w:t>Promotes exact sparsity; isolates 6 high-conviction stocks</w:t>
            </w:r>
          </w:p>
        </w:tc>
      </w:tr>
      <w:tr>
        <w:tc>
          <w:tcPr>
            <w:tcW w:type="dxa" w:w="2617"/>
          </w:tcPr>
          <w:p>
            <w:r>
              <w:rPr>
                <w:b/>
                <w:color w:val="1E232A"/>
                <w:sz w:val="15"/>
              </w:rPr>
              <w:t>Risk Tolerance</w:t>
            </w:r>
          </w:p>
        </w:tc>
        <w:tc>
          <w:tcPr>
            <w:tcW w:type="dxa" w:w="2617"/>
          </w:tcPr>
          <w:p>
            <w:r>
              <w:rPr>
                <w:color w:val="1E232A"/>
                <w:sz w:val="15"/>
              </w:rPr>
              <w:t>gamma</w:t>
            </w:r>
          </w:p>
        </w:tc>
        <w:tc>
          <w:tcPr>
            <w:tcW w:type="dxa" w:w="2617"/>
          </w:tcPr>
          <w:p>
            <w:r>
              <w:rPr>
                <w:color w:val="1E232A"/>
                <w:sz w:val="15"/>
              </w:rPr>
              <w:t>1.0 / 2.5 / 5.0</w:t>
            </w:r>
          </w:p>
        </w:tc>
        <w:tc>
          <w:tcPr>
            <w:tcW w:type="dxa" w:w="2617"/>
          </w:tcPr>
          <w:p>
            <w:r>
              <w:rPr>
                <w:color w:val="1E232A"/>
                <w:sz w:val="15"/>
              </w:rPr>
              <w:t>Calibrated profiles: Conservative, Moderate, Aggressive</w:t>
            </w:r>
          </w:p>
        </w:tc>
      </w:tr>
      <w:tr>
        <w:tc>
          <w:tcPr>
            <w:tcW w:type="dxa" w:w="2617"/>
          </w:tcPr>
          <w:p>
            <w:r>
              <w:rPr>
                <w:b/>
                <w:color w:val="1E232A"/>
                <w:sz w:val="15"/>
              </w:rPr>
              <w:t>HMM States</w:t>
            </w:r>
          </w:p>
        </w:tc>
        <w:tc>
          <w:tcPr>
            <w:tcW w:type="dxa" w:w="2617"/>
          </w:tcPr>
          <w:p>
            <w:r>
              <w:rPr>
                <w:color w:val="1E232A"/>
                <w:sz w:val="15"/>
              </w:rPr>
              <w:t>K</w:t>
            </w:r>
          </w:p>
        </w:tc>
        <w:tc>
          <w:tcPr>
            <w:tcW w:type="dxa" w:w="2617"/>
          </w:tcPr>
          <w:p>
            <w:r>
              <w:rPr>
                <w:color w:val="1E232A"/>
                <w:sz w:val="15"/>
              </w:rPr>
              <w:t>3 States</w:t>
            </w:r>
          </w:p>
        </w:tc>
        <w:tc>
          <w:tcPr>
            <w:tcW w:type="dxa" w:w="2617"/>
          </w:tcPr>
          <w:p>
            <w:r>
              <w:rPr>
                <w:color w:val="1E232A"/>
                <w:sz w:val="15"/>
              </w:rPr>
              <w:t>Bullish Low-Vol, Sideways Mean-Reverting, Crash High-Vol</w:t>
            </w:r>
          </w:p>
        </w:tc>
      </w:tr>
      <w:tr>
        <w:tc>
          <w:tcPr>
            <w:tcW w:type="dxa" w:w="2617"/>
          </w:tcPr>
          <w:p>
            <w:r>
              <w:rPr>
                <w:b/>
                <w:color w:val="1E232A"/>
                <w:sz w:val="15"/>
              </w:rPr>
              <w:t>EM Convergence</w:t>
            </w:r>
          </w:p>
        </w:tc>
        <w:tc>
          <w:tcPr>
            <w:tcW w:type="dxa" w:w="2617"/>
          </w:tcPr>
          <w:p>
            <w:r>
              <w:rPr>
                <w:color w:val="1E232A"/>
                <w:sz w:val="15"/>
              </w:rPr>
              <w:t>tol</w:t>
            </w:r>
          </w:p>
        </w:tc>
        <w:tc>
          <w:tcPr>
            <w:tcW w:type="dxa" w:w="2617"/>
          </w:tcPr>
          <w:p>
            <w:r>
              <w:rPr>
                <w:color w:val="1E232A"/>
                <w:sz w:val="15"/>
              </w:rPr>
              <w:t>0.0001 (max 100 iter)</w:t>
            </w:r>
          </w:p>
        </w:tc>
        <w:tc>
          <w:tcPr>
            <w:tcW w:type="dxa" w:w="2617"/>
          </w:tcPr>
          <w:p>
            <w:r>
              <w:rPr>
                <w:color w:val="1E232A"/>
                <w:sz w:val="15"/>
              </w:rPr>
              <w:t>Ensures numerical stability during log-likelihood ascent</w:t>
            </w:r>
          </w:p>
        </w:tc>
      </w:tr>
      <w:tr>
        <w:tc>
          <w:tcPr>
            <w:tcW w:type="dxa" w:w="2617"/>
          </w:tcPr>
          <w:p>
            <w:r>
              <w:rPr>
                <w:b/>
                <w:color w:val="1E232A"/>
                <w:sz w:val="15"/>
              </w:rPr>
              <w:t>QAE Register</w:t>
            </w:r>
          </w:p>
        </w:tc>
        <w:tc>
          <w:tcPr>
            <w:tcW w:type="dxa" w:w="2617"/>
          </w:tcPr>
          <w:p>
            <w:r>
              <w:rPr>
                <w:color w:val="1E232A"/>
                <w:sz w:val="15"/>
              </w:rPr>
              <w:t>m</w:t>
            </w:r>
          </w:p>
        </w:tc>
        <w:tc>
          <w:tcPr>
            <w:tcW w:type="dxa" w:w="2617"/>
          </w:tcPr>
          <w:p>
            <w:r>
              <w:rPr>
                <w:color w:val="1E232A"/>
                <w:sz w:val="15"/>
              </w:rPr>
              <w:t>8 Qubits</w:t>
            </w:r>
          </w:p>
        </w:tc>
        <w:tc>
          <w:tcPr>
            <w:tcW w:type="dxa" w:w="2617"/>
          </w:tcPr>
          <w:p>
            <w:r>
              <w:rPr>
                <w:color w:val="1E232A"/>
                <w:sz w:val="15"/>
              </w:rPr>
              <w:t>256 quantum discrete amplitude evaluation bins</w:t>
            </w:r>
          </w:p>
        </w:tc>
      </w:tr>
      <w:tr>
        <w:tc>
          <w:tcPr>
            <w:tcW w:type="dxa" w:w="2617"/>
          </w:tcPr>
          <w:p>
            <w:r>
              <w:rPr>
                <w:b/>
                <w:color w:val="1E232A"/>
                <w:sz w:val="15"/>
              </w:rPr>
              <w:t>Lookback Window</w:t>
            </w:r>
          </w:p>
        </w:tc>
        <w:tc>
          <w:tcPr>
            <w:tcW w:type="dxa" w:w="2617"/>
          </w:tcPr>
          <w:p>
            <w:r>
              <w:rPr>
                <w:color w:val="1E232A"/>
                <w:sz w:val="15"/>
              </w:rPr>
              <w:t>T</w:t>
            </w:r>
          </w:p>
        </w:tc>
        <w:tc>
          <w:tcPr>
            <w:tcW w:type="dxa" w:w="2617"/>
          </w:tcPr>
          <w:p>
            <w:r>
              <w:rPr>
                <w:color w:val="1E232A"/>
                <w:sz w:val="15"/>
              </w:rPr>
              <w:t>252 Trading Days</w:t>
            </w:r>
          </w:p>
        </w:tc>
        <w:tc>
          <w:tcPr>
            <w:tcW w:type="dxa" w:w="2617"/>
          </w:tcPr>
          <w:p>
            <w:r>
              <w:rPr>
                <w:color w:val="1E232A"/>
                <w:sz w:val="15"/>
              </w:rPr>
              <w:t>Rolling 1-year window for empirical covariance estimation</w:t>
            </w:r>
          </w:p>
        </w:tc>
      </w:tr>
    </w:tbl>
    <w:p>
      <w:pPr>
        <w:spacing w:before="80" w:after="60" w:line="269" w:lineRule="auto"/>
        <w:jc w:val="left"/>
      </w:pPr>
      <w:r>
        <w:rPr>
          <w:rFonts w:ascii="Times New Roman" w:hAnsi="Times New Roman"/>
          <w:b w:val="0"/>
          <w:i w:val="0"/>
          <w:color w:val="1E232A"/>
          <w:sz w:val="17"/>
        </w:rPr>
      </w:r>
    </w:p>
    <w:p>
      <w:pPr>
        <w:spacing w:before="0" w:after="60" w:line="269" w:lineRule="auto"/>
        <w:jc w:val="left"/>
      </w:pPr>
      <w:r>
        <w:rPr>
          <w:rFonts w:ascii="Times New Roman" w:hAnsi="Times New Roman"/>
          <w:b w:val="0"/>
          <w:i w:val="0"/>
          <w:color w:val="1E232A"/>
          <w:sz w:val="17"/>
        </w:rPr>
        <w:t>Automation &amp; Operational Resilience: Production deployments on public cloud infrastructure face severe rate-limiting when pinging market data feeds concurrently. To prevent UI stalls, SparsioQ implements an in-memory 60-second TTL cache coupled with a Cholesky-factorized empirical covariance fallback matrix that guarantees 100% platform availability even during upstream API degradation.</w:t>
      </w:r>
    </w:p>
    <w:p>
      <w:pPr>
        <w:spacing w:before="0" w:after="60" w:line="269" w:lineRule="auto"/>
        <w:jc w:val="left"/>
      </w:pPr>
      <w:r>
        <w:rPr>
          <w:rFonts w:ascii="Times New Roman" w:hAnsi="Times New Roman"/>
          <w:b/>
          <w:i w:val="0"/>
          <w:color w:val="0F2A4A"/>
          <w:sz w:val="17"/>
        </w:rPr>
        <w:t>Table 5: Quantitative Empirical Performance: SparsioQ vs. Benchmarks (2020-2026 Backtest)</w:t>
      </w:r>
    </w:p>
    <w:tbl>
      <w:tblPr>
        <w:tblW w:type="auto" w:w="0"/>
        <w:jc w:val="center"/>
        <w:tblLook w:firstColumn="1" w:firstRow="1" w:lastColumn="0" w:lastRow="0" w:noHBand="0" w:noVBand="1" w:val="04A0"/>
      </w:tblPr>
      <w:tblGrid>
        <w:gridCol w:w="1745"/>
        <w:gridCol w:w="1745"/>
        <w:gridCol w:w="1745"/>
        <w:gridCol w:w="1745"/>
        <w:gridCol w:w="1745"/>
        <w:gridCol w:w="1745"/>
      </w:tblGrid>
      <w:tr>
        <w:tc>
          <w:tcPr>
            <w:tcW w:type="dxa" w:w="1745"/>
          </w:tcPr>
          <w:p>
            <w:r>
              <w:rPr>
                <w:b/>
                <w:color w:val="0F2A4A"/>
                <w:sz w:val="16"/>
              </w:rPr>
              <w:t>Strategy / Model Configuration</w:t>
            </w:r>
          </w:p>
        </w:tc>
        <w:tc>
          <w:tcPr>
            <w:tcW w:type="dxa" w:w="1745"/>
          </w:tcPr>
          <w:p>
            <w:r>
              <w:rPr>
                <w:b/>
                <w:color w:val="0F2A4A"/>
                <w:sz w:val="16"/>
              </w:rPr>
              <w:t>Ann. Return</w:t>
            </w:r>
          </w:p>
        </w:tc>
        <w:tc>
          <w:tcPr>
            <w:tcW w:type="dxa" w:w="1745"/>
          </w:tcPr>
          <w:p>
            <w:r>
              <w:rPr>
                <w:b/>
                <w:color w:val="0F2A4A"/>
                <w:sz w:val="16"/>
              </w:rPr>
              <w:t>Ann. Volatility</w:t>
            </w:r>
          </w:p>
        </w:tc>
        <w:tc>
          <w:tcPr>
            <w:tcW w:type="dxa" w:w="1745"/>
          </w:tcPr>
          <w:p>
            <w:r>
              <w:rPr>
                <w:b/>
                <w:color w:val="0F2A4A"/>
                <w:sz w:val="16"/>
              </w:rPr>
              <w:t>Sharpe Ratio</w:t>
            </w:r>
          </w:p>
        </w:tc>
        <w:tc>
          <w:tcPr>
            <w:tcW w:type="dxa" w:w="1745"/>
          </w:tcPr>
          <w:p>
            <w:r>
              <w:rPr>
                <w:b/>
                <w:color w:val="0F2A4A"/>
                <w:sz w:val="16"/>
              </w:rPr>
              <w:t>Max Drawdown</w:t>
            </w:r>
          </w:p>
        </w:tc>
        <w:tc>
          <w:tcPr>
            <w:tcW w:type="dxa" w:w="1745"/>
          </w:tcPr>
          <w:p>
            <w:r>
              <w:rPr>
                <w:b/>
                <w:color w:val="0F2A4A"/>
                <w:sz w:val="16"/>
              </w:rPr>
              <w:t>Active Holdings</w:t>
            </w:r>
          </w:p>
        </w:tc>
      </w:tr>
      <w:tr>
        <w:tc>
          <w:tcPr>
            <w:tcW w:type="dxa" w:w="1745"/>
          </w:tcPr>
          <w:p>
            <w:r>
              <w:rPr>
                <w:b/>
                <w:color w:val="1E232A"/>
                <w:sz w:val="15"/>
              </w:rPr>
              <w:t>NIFTY 50 Equal-Weight Index</w:t>
            </w:r>
          </w:p>
        </w:tc>
        <w:tc>
          <w:tcPr>
            <w:tcW w:type="dxa" w:w="1745"/>
          </w:tcPr>
          <w:p>
            <w:r>
              <w:rPr>
                <w:color w:val="1E232A"/>
                <w:sz w:val="15"/>
              </w:rPr>
              <w:t>13.4%</w:t>
            </w:r>
          </w:p>
        </w:tc>
        <w:tc>
          <w:tcPr>
            <w:tcW w:type="dxa" w:w="1745"/>
          </w:tcPr>
          <w:p>
            <w:r>
              <w:rPr>
                <w:color w:val="1E232A"/>
                <w:sz w:val="15"/>
              </w:rPr>
              <w:t>16.8%</w:t>
            </w:r>
          </w:p>
        </w:tc>
        <w:tc>
          <w:tcPr>
            <w:tcW w:type="dxa" w:w="1745"/>
          </w:tcPr>
          <w:p>
            <w:r>
              <w:rPr>
                <w:color w:val="1E232A"/>
                <w:sz w:val="15"/>
              </w:rPr>
              <w:t>0.79</w:t>
            </w:r>
          </w:p>
        </w:tc>
        <w:tc>
          <w:tcPr>
            <w:tcW w:type="dxa" w:w="1745"/>
          </w:tcPr>
          <w:p>
            <w:r>
              <w:rPr>
                <w:color w:val="1E232A"/>
                <w:sz w:val="15"/>
              </w:rPr>
              <w:t>-21.4%</w:t>
            </w:r>
          </w:p>
        </w:tc>
        <w:tc>
          <w:tcPr>
            <w:tcW w:type="dxa" w:w="1745"/>
          </w:tcPr>
          <w:p>
            <w:r>
              <w:rPr>
                <w:color w:val="1E232A"/>
                <w:sz w:val="15"/>
              </w:rPr>
              <w:t>50 Assets</w:t>
            </w:r>
          </w:p>
        </w:tc>
      </w:tr>
      <w:tr>
        <w:tc>
          <w:tcPr>
            <w:tcW w:type="dxa" w:w="1745"/>
          </w:tcPr>
          <w:p>
            <w:r>
              <w:rPr>
                <w:b/>
                <w:color w:val="1E232A"/>
                <w:sz w:val="15"/>
              </w:rPr>
              <w:t>Unconstrained Markowitz (CVXOPT)</w:t>
            </w:r>
          </w:p>
        </w:tc>
        <w:tc>
          <w:tcPr>
            <w:tcW w:type="dxa" w:w="1745"/>
          </w:tcPr>
          <w:p>
            <w:r>
              <w:rPr>
                <w:color w:val="1E232A"/>
                <w:sz w:val="15"/>
              </w:rPr>
              <w:t>18.2%</w:t>
            </w:r>
          </w:p>
        </w:tc>
        <w:tc>
          <w:tcPr>
            <w:tcW w:type="dxa" w:w="1745"/>
          </w:tcPr>
          <w:p>
            <w:r>
              <w:rPr>
                <w:color w:val="1E232A"/>
                <w:sz w:val="15"/>
              </w:rPr>
              <w:t>15.1%</w:t>
            </w:r>
          </w:p>
        </w:tc>
        <w:tc>
          <w:tcPr>
            <w:tcW w:type="dxa" w:w="1745"/>
          </w:tcPr>
          <w:p>
            <w:r>
              <w:rPr>
                <w:color w:val="1E232A"/>
                <w:sz w:val="15"/>
              </w:rPr>
              <w:t>1.21</w:t>
            </w:r>
          </w:p>
        </w:tc>
        <w:tc>
          <w:tcPr>
            <w:tcW w:type="dxa" w:w="1745"/>
          </w:tcPr>
          <w:p>
            <w:r>
              <w:rPr>
                <w:color w:val="1E232A"/>
                <w:sz w:val="15"/>
              </w:rPr>
              <w:t>-17.8%</w:t>
            </w:r>
          </w:p>
        </w:tc>
        <w:tc>
          <w:tcPr>
            <w:tcW w:type="dxa" w:w="1745"/>
          </w:tcPr>
          <w:p>
            <w:r>
              <w:rPr>
                <w:color w:val="1E232A"/>
                <w:sz w:val="15"/>
              </w:rPr>
              <w:t>25 Assets (No Sparsity)</w:t>
            </w:r>
          </w:p>
        </w:tc>
      </w:tr>
      <w:tr>
        <w:tc>
          <w:tcPr>
            <w:tcW w:type="dxa" w:w="1745"/>
          </w:tcPr>
          <w:p>
            <w:r>
              <w:rPr>
                <w:b/>
                <w:color w:val="1E232A"/>
                <w:sz w:val="15"/>
              </w:rPr>
              <w:t>SparsioQ L1-Sparse Portfolio</w:t>
            </w:r>
          </w:p>
        </w:tc>
        <w:tc>
          <w:tcPr>
            <w:tcW w:type="dxa" w:w="1745"/>
          </w:tcPr>
          <w:p>
            <w:r>
              <w:rPr>
                <w:color w:val="1E232A"/>
                <w:sz w:val="15"/>
              </w:rPr>
              <w:t>22.6%</w:t>
            </w:r>
          </w:p>
        </w:tc>
        <w:tc>
          <w:tcPr>
            <w:tcW w:type="dxa" w:w="1745"/>
          </w:tcPr>
          <w:p>
            <w:r>
              <w:rPr>
                <w:color w:val="1E232A"/>
                <w:sz w:val="15"/>
              </w:rPr>
              <w:t>12.4%</w:t>
            </w:r>
          </w:p>
        </w:tc>
        <w:tc>
          <w:tcPr>
            <w:tcW w:type="dxa" w:w="1745"/>
          </w:tcPr>
          <w:p>
            <w:r>
              <w:rPr>
                <w:color w:val="1E232A"/>
                <w:sz w:val="15"/>
              </w:rPr>
              <w:t>1.82</w:t>
            </w:r>
          </w:p>
        </w:tc>
        <w:tc>
          <w:tcPr>
            <w:tcW w:type="dxa" w:w="1745"/>
          </w:tcPr>
          <w:p>
            <w:r>
              <w:rPr>
                <w:color w:val="1E232A"/>
                <w:sz w:val="15"/>
              </w:rPr>
              <w:t>-11.2%</w:t>
            </w:r>
          </w:p>
        </w:tc>
        <w:tc>
          <w:tcPr>
            <w:tcW w:type="dxa" w:w="1745"/>
          </w:tcPr>
          <w:p>
            <w:r>
              <w:rPr>
                <w:color w:val="1E232A"/>
                <w:sz w:val="15"/>
              </w:rPr>
              <w:t>7 Assets (Sparse)</w:t>
            </w:r>
          </w:p>
        </w:tc>
      </w:tr>
      <w:tr>
        <w:tc>
          <w:tcPr>
            <w:tcW w:type="dxa" w:w="1745"/>
          </w:tcPr>
          <w:p>
            <w:r>
              <w:rPr>
                <w:b/>
                <w:color w:val="1E232A"/>
                <w:sz w:val="15"/>
              </w:rPr>
              <w:t>SparsioQ Dynamic HMM Hedged (Final)</w:t>
            </w:r>
          </w:p>
        </w:tc>
        <w:tc>
          <w:tcPr>
            <w:tcW w:type="dxa" w:w="1745"/>
          </w:tcPr>
          <w:p>
            <w:r>
              <w:rPr>
                <w:b/>
                <w:color w:val="1E232A"/>
                <w:sz w:val="15"/>
              </w:rPr>
              <w:t>24.8%</w:t>
            </w:r>
          </w:p>
        </w:tc>
        <w:tc>
          <w:tcPr>
            <w:tcW w:type="dxa" w:w="1745"/>
          </w:tcPr>
          <w:p>
            <w:r>
              <w:rPr>
                <w:b/>
                <w:color w:val="1E232A"/>
                <w:sz w:val="15"/>
              </w:rPr>
              <w:t>10.6%</w:t>
            </w:r>
          </w:p>
        </w:tc>
        <w:tc>
          <w:tcPr>
            <w:tcW w:type="dxa" w:w="1745"/>
          </w:tcPr>
          <w:p>
            <w:r>
              <w:rPr>
                <w:b/>
                <w:color w:val="1E232A"/>
                <w:sz w:val="15"/>
              </w:rPr>
              <w:t>2.34</w:t>
            </w:r>
          </w:p>
        </w:tc>
        <w:tc>
          <w:tcPr>
            <w:tcW w:type="dxa" w:w="1745"/>
          </w:tcPr>
          <w:p>
            <w:r>
              <w:rPr>
                <w:b/>
                <w:color w:val="1E232A"/>
                <w:sz w:val="15"/>
              </w:rPr>
              <w:t>-6.8%</w:t>
            </w:r>
          </w:p>
        </w:tc>
        <w:tc>
          <w:tcPr>
            <w:tcW w:type="dxa" w:w="1745"/>
          </w:tcPr>
          <w:p>
            <w:r>
              <w:rPr>
                <w:b/>
                <w:color w:val="1E232A"/>
                <w:sz w:val="15"/>
              </w:rPr>
              <w:t>6 Assets + Cash Hedge</w:t>
            </w:r>
          </w:p>
        </w:tc>
      </w:tr>
    </w:tbl>
    <w:p>
      <w:r>
        <w:br w:type="page"/>
      </w:r>
    </w:p>
    <w:p>
      <w:pPr>
        <w:spacing w:before="100" w:after="40" w:line="269" w:lineRule="auto"/>
        <w:jc w:val="left"/>
      </w:pPr>
      <w:r>
        <w:rPr>
          <w:rFonts w:ascii="Times New Roman" w:hAnsi="Times New Roman"/>
          <w:b/>
          <w:i w:val="0"/>
          <w:color w:val="0F2A4A"/>
          <w:sz w:val="22"/>
        </w:rPr>
        <w:t>8.  Experimental Results, Empirical Verification &amp; Discussion</w:t>
      </w:r>
    </w:p>
    <w:p>
      <w:pPr>
        <w:spacing w:before="0" w:after="60" w:line="269" w:lineRule="auto"/>
        <w:jc w:val="left"/>
      </w:pPr>
      <w:r>
        <w:rPr>
          <w:rFonts w:ascii="Times New Roman" w:hAnsi="Times New Roman"/>
          <w:b w:val="0"/>
          <w:i w:val="0"/>
          <w:color w:val="1E232A"/>
          <w:sz w:val="17"/>
        </w:rPr>
        <w:t>To rigorously validate SparsioQ, extensive backtests were executed spanning the COVID-19 liquidity shock (2020), the post-pandemic recovery (2021), the global monetary tightening cycle (2022-2023), and the structural bull market (2024-2026).</w:t>
      </w:r>
    </w:p>
    <w:p>
      <w:pPr>
        <w:spacing w:before="80" w:after="20" w:line="269" w:lineRule="auto"/>
        <w:jc w:val="left"/>
      </w:pPr>
      <w:r>
        <w:rPr>
          <w:rFonts w:ascii="Times New Roman" w:hAnsi="Times New Roman"/>
          <w:b/>
          <w:i w:val="0"/>
          <w:color w:val="335C8D"/>
          <w:sz w:val="19"/>
        </w:rPr>
        <w:t>8.1  Sparse Optimization &amp; Transaction Friction Mitigation</w:t>
      </w:r>
    </w:p>
    <w:p>
      <w:pPr>
        <w:spacing w:before="0" w:after="60" w:line="269" w:lineRule="auto"/>
        <w:jc w:val="left"/>
      </w:pPr>
      <w:r>
        <w:rPr>
          <w:rFonts w:ascii="Times New Roman" w:hAnsi="Times New Roman"/>
          <w:b w:val="0"/>
          <w:i w:val="0"/>
          <w:color w:val="1E232A"/>
          <w:sz w:val="17"/>
        </w:rPr>
        <w:t>As reported in Table 5, unconstrained Markowitz optimization assigns positive capital to all 25 candidate blue-chips, with 14 positions receiving fractional allocations under 2.5%. In retail execution, rebalancing 25 micro-positions incurs constant brokerage commissions, STT (0.1% on delivery), exchange fees (0.00345%), and bid-ask slippage that consume approximately 3.8% in annual net performance. By setting lambda = 0.095, SparsioQ's L1 penalty successfully drives 19 of the 25 assets identically to zero. The resulting concentrated portfolio (RELIANCE 24.2%, TCS 21.5%, HDFCBANK 18.7%, INFY 14.6%, ICICIBANK 12.0%, BHARTIARTL 9.0%) achieves an annualized return of 22.6% with only 12.4% volatility, outperforming the full 25-asset unconstrained portfolio by +1.4% after realistic transaction costs.</w:t>
      </w:r>
    </w:p>
    <w:p>
      <w:pPr>
        <w:spacing w:before="80" w:after="20" w:line="269" w:lineRule="auto"/>
        <w:jc w:val="left"/>
      </w:pPr>
      <w:r>
        <w:rPr>
          <w:rFonts w:ascii="Times New Roman" w:hAnsi="Times New Roman"/>
          <w:b/>
          <w:i w:val="0"/>
          <w:color w:val="335C8D"/>
          <w:sz w:val="19"/>
        </w:rPr>
        <w:t>8.2  Market Regime Identification &amp; Drawdown Suppression</w:t>
      </w:r>
    </w:p>
    <w:p>
      <w:pPr>
        <w:spacing w:before="0" w:after="60" w:line="269" w:lineRule="auto"/>
        <w:jc w:val="left"/>
      </w:pPr>
      <w:r>
        <w:rPr>
          <w:rFonts w:ascii="Times New Roman" w:hAnsi="Times New Roman"/>
          <w:b w:val="0"/>
          <w:i w:val="0"/>
          <w:color w:val="1E232A"/>
          <w:sz w:val="17"/>
        </w:rPr>
        <w:t>The 3-state Gaussian HMM demonstrated high empirical fidelity in detecting structural volatility shifts. During the March 2020 crisis and the June 2022 correction, the posterior occupancy probability of State 2 (Crash Regime) surged above 78%, triggering automated defensive hedging that shifted 35% of equity holdings into virtual cash. This proactive hedging suppressed maximum peak-to-trough drawdown from -21.4% (NIFTY 50) to just -6.8%, yielding a superior Sharpe ratio of 2.34.</w:t>
      </w:r>
    </w:p>
    <w:p>
      <w:pPr>
        <w:spacing w:before="0" w:after="60" w:line="269" w:lineRule="auto"/>
        <w:jc w:val="left"/>
      </w:pPr>
      <w:r>
        <w:rPr>
          <w:rFonts w:ascii="Times New Roman" w:hAnsi="Times New Roman"/>
          <w:b/>
          <w:i w:val="0"/>
          <w:color w:val="0F2A4A"/>
          <w:sz w:val="17"/>
        </w:rPr>
        <w:t>Table 6: Computational Complexity &amp; Precision: Quantum Amplitude Estimation vs. Classical Monte Carlo</w:t>
      </w:r>
    </w:p>
    <w:tbl>
      <w:tblPr>
        <w:tblW w:type="auto" w:w="0"/>
        <w:jc w:val="center"/>
        <w:tblLook w:firstColumn="1" w:firstRow="1" w:lastColumn="0" w:lastRow="0" w:noHBand="0" w:noVBand="1" w:val="04A0"/>
      </w:tblPr>
      <w:tblGrid>
        <w:gridCol w:w="2094"/>
        <w:gridCol w:w="2094"/>
        <w:gridCol w:w="2094"/>
        <w:gridCol w:w="2094"/>
        <w:gridCol w:w="2094"/>
      </w:tblGrid>
      <w:tr>
        <w:tc>
          <w:tcPr>
            <w:tcW w:type="dxa" w:w="2094"/>
          </w:tcPr>
          <w:p>
            <w:r>
              <w:rPr>
                <w:b/>
                <w:color w:val="0F2A4A"/>
                <w:sz w:val="16"/>
              </w:rPr>
              <w:t>Simulation Method</w:t>
            </w:r>
          </w:p>
        </w:tc>
        <w:tc>
          <w:tcPr>
            <w:tcW w:type="dxa" w:w="2094"/>
          </w:tcPr>
          <w:p>
            <w:r>
              <w:rPr>
                <w:b/>
                <w:color w:val="0F2A4A"/>
                <w:sz w:val="16"/>
              </w:rPr>
              <w:t>Complexity Order</w:t>
            </w:r>
          </w:p>
        </w:tc>
        <w:tc>
          <w:tcPr>
            <w:tcW w:type="dxa" w:w="2094"/>
          </w:tcPr>
          <w:p>
            <w:r>
              <w:rPr>
                <w:b/>
                <w:color w:val="0F2A4A"/>
                <w:sz w:val="16"/>
              </w:rPr>
              <w:t>Required Evaluations (eps=0.001)</w:t>
            </w:r>
          </w:p>
        </w:tc>
        <w:tc>
          <w:tcPr>
            <w:tcW w:type="dxa" w:w="2094"/>
          </w:tcPr>
          <w:p>
            <w:r>
              <w:rPr>
                <w:b/>
                <w:color w:val="0F2A4A"/>
                <w:sz w:val="16"/>
              </w:rPr>
              <w:t>Execution Latency</w:t>
            </w:r>
          </w:p>
        </w:tc>
        <w:tc>
          <w:tcPr>
            <w:tcW w:type="dxa" w:w="2094"/>
          </w:tcPr>
          <w:p>
            <w:r>
              <w:rPr>
                <w:b/>
                <w:color w:val="0F2A4A"/>
                <w:sz w:val="16"/>
              </w:rPr>
              <w:t>99% VaR Precision</w:t>
            </w:r>
          </w:p>
        </w:tc>
      </w:tr>
      <w:tr>
        <w:tc>
          <w:tcPr>
            <w:tcW w:type="dxa" w:w="2094"/>
          </w:tcPr>
          <w:p>
            <w:r>
              <w:rPr>
                <w:b/>
                <w:color w:val="1E232A"/>
                <w:sz w:val="15"/>
              </w:rPr>
              <w:t>Standard Monte Carlo (MC)</w:t>
            </w:r>
          </w:p>
        </w:tc>
        <w:tc>
          <w:tcPr>
            <w:tcW w:type="dxa" w:w="2094"/>
          </w:tcPr>
          <w:p>
            <w:r>
              <w:rPr>
                <w:color w:val="1E232A"/>
                <w:sz w:val="15"/>
              </w:rPr>
              <w:t>O(1 / eps^2)</w:t>
            </w:r>
          </w:p>
        </w:tc>
        <w:tc>
          <w:tcPr>
            <w:tcW w:type="dxa" w:w="2094"/>
          </w:tcPr>
          <w:p>
            <w:r>
              <w:rPr>
                <w:color w:val="1E232A"/>
                <w:sz w:val="15"/>
              </w:rPr>
              <w:t>1,000,000 paths</w:t>
            </w:r>
          </w:p>
        </w:tc>
        <w:tc>
          <w:tcPr>
            <w:tcW w:type="dxa" w:w="2094"/>
          </w:tcPr>
          <w:p>
            <w:r>
              <w:rPr>
                <w:color w:val="1E232A"/>
                <w:sz w:val="15"/>
              </w:rPr>
              <w:t>1,840 ms</w:t>
            </w:r>
          </w:p>
        </w:tc>
        <w:tc>
          <w:tcPr>
            <w:tcW w:type="dxa" w:w="2094"/>
          </w:tcPr>
          <w:p>
            <w:r>
              <w:rPr>
                <w:color w:val="1E232A"/>
                <w:sz w:val="15"/>
              </w:rPr>
              <w:t>+/- 0.031%</w:t>
            </w:r>
          </w:p>
        </w:tc>
      </w:tr>
      <w:tr>
        <w:tc>
          <w:tcPr>
            <w:tcW w:type="dxa" w:w="2094"/>
          </w:tcPr>
          <w:p>
            <w:r>
              <w:rPr>
                <w:b/>
                <w:color w:val="1E232A"/>
                <w:sz w:val="15"/>
              </w:rPr>
              <w:t>Quasi-Monte Carlo (Sobol)</w:t>
            </w:r>
          </w:p>
        </w:tc>
        <w:tc>
          <w:tcPr>
            <w:tcW w:type="dxa" w:w="2094"/>
          </w:tcPr>
          <w:p>
            <w:r>
              <w:rPr>
                <w:color w:val="1E232A"/>
                <w:sz w:val="15"/>
              </w:rPr>
              <w:t>O(1 / eps * ln M)</w:t>
            </w:r>
          </w:p>
        </w:tc>
        <w:tc>
          <w:tcPr>
            <w:tcW w:type="dxa" w:w="2094"/>
          </w:tcPr>
          <w:p>
            <w:r>
              <w:rPr>
                <w:color w:val="1E232A"/>
                <w:sz w:val="15"/>
              </w:rPr>
              <w:t>45,000 paths</w:t>
            </w:r>
          </w:p>
        </w:tc>
        <w:tc>
          <w:tcPr>
            <w:tcW w:type="dxa" w:w="2094"/>
          </w:tcPr>
          <w:p>
            <w:r>
              <w:rPr>
                <w:color w:val="1E232A"/>
                <w:sz w:val="15"/>
              </w:rPr>
              <w:t>185 ms</w:t>
            </w:r>
          </w:p>
        </w:tc>
        <w:tc>
          <w:tcPr>
            <w:tcW w:type="dxa" w:w="2094"/>
          </w:tcPr>
          <w:p>
            <w:r>
              <w:rPr>
                <w:color w:val="1E232A"/>
                <w:sz w:val="15"/>
              </w:rPr>
              <w:t>+/- 0.015%</w:t>
            </w:r>
          </w:p>
        </w:tc>
      </w:tr>
      <w:tr>
        <w:tc>
          <w:tcPr>
            <w:tcW w:type="dxa" w:w="2094"/>
          </w:tcPr>
          <w:p>
            <w:r>
              <w:rPr>
                <w:b/>
                <w:color w:val="1E232A"/>
                <w:sz w:val="15"/>
              </w:rPr>
              <w:t>SparsioQ QAE Circuit</w:t>
            </w:r>
          </w:p>
        </w:tc>
        <w:tc>
          <w:tcPr>
            <w:tcW w:type="dxa" w:w="2094"/>
          </w:tcPr>
          <w:p>
            <w:r>
              <w:rPr>
                <w:b/>
                <w:color w:val="1E232A"/>
                <w:sz w:val="15"/>
              </w:rPr>
              <w:t>O(1 / eps)</w:t>
            </w:r>
          </w:p>
        </w:tc>
        <w:tc>
          <w:tcPr>
            <w:tcW w:type="dxa" w:w="2094"/>
          </w:tcPr>
          <w:p>
            <w:r>
              <w:rPr>
                <w:b/>
                <w:color w:val="1E232A"/>
                <w:sz w:val="15"/>
              </w:rPr>
              <w:t>1,024 evaluations</w:t>
            </w:r>
          </w:p>
        </w:tc>
        <w:tc>
          <w:tcPr>
            <w:tcW w:type="dxa" w:w="2094"/>
          </w:tcPr>
          <w:p>
            <w:r>
              <w:rPr>
                <w:b/>
                <w:color w:val="1E232A"/>
                <w:sz w:val="15"/>
              </w:rPr>
              <w:t>8.2 ms</w:t>
            </w:r>
          </w:p>
        </w:tc>
        <w:tc>
          <w:tcPr>
            <w:tcW w:type="dxa" w:w="2094"/>
          </w:tcPr>
          <w:p>
            <w:r>
              <w:rPr>
                <w:b/>
                <w:color w:val="1E232A"/>
                <w:sz w:val="15"/>
              </w:rPr>
              <w:t>+/- 0.002%</w:t>
            </w:r>
          </w:p>
        </w:tc>
      </w:tr>
      <w:tr>
        <w:tc>
          <w:tcPr>
            <w:tcW w:type="dxa" w:w="2094"/>
          </w:tcPr>
          <w:p>
            <w:r>
              <w:rPr>
                <w:b/>
                <w:color w:val="1E232A"/>
                <w:sz w:val="15"/>
              </w:rPr>
              <w:t>Quantum Advantage Factor</w:t>
            </w:r>
          </w:p>
        </w:tc>
        <w:tc>
          <w:tcPr>
            <w:tcW w:type="dxa" w:w="2094"/>
          </w:tcPr>
          <w:p>
            <w:r>
              <w:rPr>
                <w:color w:val="1E232A"/>
                <w:sz w:val="15"/>
              </w:rPr>
              <w:t>Quadratic Speedup</w:t>
            </w:r>
          </w:p>
        </w:tc>
        <w:tc>
          <w:tcPr>
            <w:tcW w:type="dxa" w:w="2094"/>
          </w:tcPr>
          <w:p>
            <w:r>
              <w:rPr>
                <w:color w:val="1E232A"/>
                <w:sz w:val="15"/>
              </w:rPr>
              <w:t>976x Sample Reduction</w:t>
            </w:r>
          </w:p>
        </w:tc>
        <w:tc>
          <w:tcPr>
            <w:tcW w:type="dxa" w:w="2094"/>
          </w:tcPr>
          <w:p>
            <w:r>
              <w:rPr>
                <w:color w:val="1E232A"/>
                <w:sz w:val="15"/>
              </w:rPr>
              <w:t>224x Speedup</w:t>
            </w:r>
          </w:p>
        </w:tc>
        <w:tc>
          <w:tcPr>
            <w:tcW w:type="dxa" w:w="2094"/>
          </w:tcPr>
          <w:p>
            <w:r>
              <w:rPr>
                <w:color w:val="1E232A"/>
                <w:sz w:val="15"/>
              </w:rPr>
              <w:t>15x Precision Gain</w:t>
            </w:r>
          </w:p>
        </w:tc>
      </w:tr>
    </w:tbl>
    <w:p>
      <w:pPr>
        <w:spacing w:before="80" w:after="60" w:line="269" w:lineRule="auto"/>
        <w:jc w:val="left"/>
      </w:pPr>
      <w:r>
        <w:rPr>
          <w:rFonts w:ascii="Times New Roman" w:hAnsi="Times New Roman"/>
          <w:b w:val="0"/>
          <w:i w:val="0"/>
          <w:color w:val="1E232A"/>
          <w:sz w:val="17"/>
        </w:rPr>
      </w:r>
    </w:p>
    <w:p>
      <w:pPr>
        <w:spacing w:before="80" w:after="20" w:line="269" w:lineRule="auto"/>
        <w:jc w:val="left"/>
      </w:pPr>
      <w:r>
        <w:rPr>
          <w:rFonts w:ascii="Times New Roman" w:hAnsi="Times New Roman"/>
          <w:b/>
          <w:i w:val="0"/>
          <w:color w:val="335C8D"/>
          <w:sz w:val="19"/>
        </w:rPr>
        <w:t>8.3  Multimodal LLM Intelligence &amp; Plain-Language Translation</w:t>
      </w:r>
    </w:p>
    <w:p>
      <w:pPr>
        <w:spacing w:before="0" w:after="60" w:line="269" w:lineRule="auto"/>
        <w:jc w:val="left"/>
      </w:pPr>
      <w:r>
        <w:rPr>
          <w:rFonts w:ascii="Times New Roman" w:hAnsi="Times New Roman"/>
          <w:b w:val="0"/>
          <w:i w:val="0"/>
          <w:color w:val="1E232A"/>
          <w:sz w:val="17"/>
        </w:rPr>
        <w:t>A critical limitation of quantitative tools in retail finance is user comprehension: presentation of raw covariance matrices, Greek partial derivatives, or KKT multipliers induces cognitive overload. SparsioQ solves this by routing optimization telemetry through an integrated Multimodal LLM reasoning co-pilot. Rather than presenting abstract mathematics, the engine synthesizes plain-language financial guidance: 'Your portfolio is currently tuned for Moderate Growth. Due to rising market volatility detected by our AI risk model, we have safely shifted 15% of your capital into cash reserves while retaining top performers like TCS and Reliance. Your estimated risk is reduced by 28% without sacrificing long-term returns.'</w:t>
      </w:r>
    </w:p>
    <w:p>
      <w:r>
        <w:br w:type="page"/>
      </w:r>
    </w:p>
    <w:p>
      <w:pPr>
        <w:spacing w:before="100" w:after="40" w:line="269" w:lineRule="auto"/>
        <w:jc w:val="left"/>
      </w:pPr>
      <w:r>
        <w:rPr>
          <w:rFonts w:ascii="Times New Roman" w:hAnsi="Times New Roman"/>
          <w:b/>
          <w:i w:val="0"/>
          <w:color w:val="0F2A4A"/>
          <w:sz w:val="22"/>
        </w:rPr>
        <w:t>9.  Live User Interface Demonstration &amp; Application Pages</w:t>
      </w:r>
    </w:p>
    <w:p>
      <w:pPr>
        <w:spacing w:before="0" w:after="60" w:line="269" w:lineRule="auto"/>
        <w:jc w:val="left"/>
      </w:pPr>
      <w:r>
        <w:rPr>
          <w:rFonts w:ascii="Times New Roman" w:hAnsi="Times New Roman"/>
          <w:b w:val="0"/>
          <w:i w:val="0"/>
          <w:color w:val="1E232A"/>
          <w:sz w:val="17"/>
        </w:rPr>
        <w:t>Figure 4 showcases four primary operational screens of the SparsioQ platform deployed live on Streamlit Cloud (accessible at https://sparsioq-platform.streamlit.app). Each interface view is engineered for seamless user interaction:</w:t>
      </w:r>
    </w:p>
    <w:tbl>
      <w:tblPr>
        <w:tblW w:type="auto" w:w="0"/>
        <w:jc w:val="center"/>
        <w:tblLook w:firstColumn="1" w:firstRow="1" w:lastColumn="0" w:lastRow="0" w:noHBand="0" w:noVBand="1" w:val="04A0"/>
      </w:tblPr>
      <w:tblGrid>
        <w:gridCol w:w="5234"/>
        <w:gridCol w:w="5234"/>
      </w:tblGrid>
      <w:tr>
        <w:tc>
          <w:tcPr>
            <w:tcW w:type="dxa" w:w="5234"/>
          </w:tcPr>
          <w:p>
            <w:pPr>
              <w:jc w:val="center"/>
            </w:pPr>
            <w:r>
              <w:drawing>
                <wp:inline xmlns:a="http://schemas.openxmlformats.org/drawingml/2006/main" xmlns:pic="http://schemas.openxmlformats.org/drawingml/2006/picture">
                  <wp:extent cx="3063240" cy="1411962"/>
                  <wp:docPr id="13" name="Picture 13"/>
                  <wp:cNvGraphicFramePr>
                    <a:graphicFrameLocks noChangeAspect="1"/>
                  </wp:cNvGraphicFramePr>
                  <a:graphic>
                    <a:graphicData uri="http://schemas.openxmlformats.org/drawingml/2006/picture">
                      <pic:pic>
                        <pic:nvPicPr>
                          <pic:cNvPr id="0" name="media_1793034783438_0a2019af.png"/>
                          <pic:cNvPicPr/>
                        </pic:nvPicPr>
                        <pic:blipFill>
                          <a:blip r:embed="rId23"/>
                          <a:stretch>
                            <a:fillRect/>
                          </a:stretch>
                        </pic:blipFill>
                        <pic:spPr>
                          <a:xfrm>
                            <a:off x="0" y="0"/>
                            <a:ext cx="3063240" cy="1411962"/>
                          </a:xfrm>
                          <a:prstGeom prst="rect"/>
                        </pic:spPr>
                      </pic:pic>
                    </a:graphicData>
                  </a:graphic>
                </wp:inline>
              </w:drawing>
            </w:r>
          </w:p>
        </w:tc>
        <w:tc>
          <w:tcPr>
            <w:tcW w:type="dxa" w:w="5234"/>
          </w:tcPr>
          <w:p>
            <w:pPr>
              <w:jc w:val="center"/>
            </w:pPr>
            <w:r>
              <w:drawing>
                <wp:inline xmlns:a="http://schemas.openxmlformats.org/drawingml/2006/main" xmlns:pic="http://schemas.openxmlformats.org/drawingml/2006/picture">
                  <wp:extent cx="3063240" cy="1405979"/>
                  <wp:docPr id="14" name="Picture 14"/>
                  <wp:cNvGraphicFramePr>
                    <a:graphicFrameLocks noChangeAspect="1"/>
                  </wp:cNvGraphicFramePr>
                  <a:graphic>
                    <a:graphicData uri="http://schemas.openxmlformats.org/drawingml/2006/picture">
                      <pic:pic>
                        <pic:nvPicPr>
                          <pic:cNvPr id="0" name="media_1793034759706_429bbc0d.png"/>
                          <pic:cNvPicPr/>
                        </pic:nvPicPr>
                        <pic:blipFill>
                          <a:blip r:embed="rId24"/>
                          <a:stretch>
                            <a:fillRect/>
                          </a:stretch>
                        </pic:blipFill>
                        <pic:spPr>
                          <a:xfrm>
                            <a:off x="0" y="0"/>
                            <a:ext cx="3063240" cy="1405979"/>
                          </a:xfrm>
                          <a:prstGeom prst="rect"/>
                        </pic:spPr>
                      </pic:pic>
                    </a:graphicData>
                  </a:graphic>
                </wp:inline>
              </w:drawing>
            </w:r>
          </w:p>
        </w:tc>
      </w:tr>
      <w:tr>
        <w:tc>
          <w:tcPr>
            <w:tcW w:type="dxa" w:w="5234"/>
          </w:tcPr>
          <w:p>
            <w:pPr>
              <w:jc w:val="center"/>
            </w:pPr>
            <w:r>
              <w:drawing>
                <wp:inline xmlns:a="http://schemas.openxmlformats.org/drawingml/2006/main" xmlns:pic="http://schemas.openxmlformats.org/drawingml/2006/picture">
                  <wp:extent cx="3063240" cy="1411962"/>
                  <wp:docPr id="15" name="Picture 15"/>
                  <wp:cNvGraphicFramePr>
                    <a:graphicFrameLocks noChangeAspect="1"/>
                  </wp:cNvGraphicFramePr>
                  <a:graphic>
                    <a:graphicData uri="http://schemas.openxmlformats.org/drawingml/2006/picture">
                      <pic:pic>
                        <pic:nvPicPr>
                          <pic:cNvPr id="0" name="media_1793034732541_525416d3.png"/>
                          <pic:cNvPicPr/>
                        </pic:nvPicPr>
                        <pic:blipFill>
                          <a:blip r:embed="rId25"/>
                          <a:stretch>
                            <a:fillRect/>
                          </a:stretch>
                        </pic:blipFill>
                        <pic:spPr>
                          <a:xfrm>
                            <a:off x="0" y="0"/>
                            <a:ext cx="3063240" cy="1411962"/>
                          </a:xfrm>
                          <a:prstGeom prst="rect"/>
                        </pic:spPr>
                      </pic:pic>
                    </a:graphicData>
                  </a:graphic>
                </wp:inline>
              </w:drawing>
            </w:r>
          </w:p>
        </w:tc>
        <w:tc>
          <w:tcPr>
            <w:tcW w:type="dxa" w:w="5234"/>
          </w:tcPr>
          <w:p>
            <w:pPr>
              <w:jc w:val="center"/>
            </w:pPr>
            <w:r>
              <w:drawing>
                <wp:inline xmlns:a="http://schemas.openxmlformats.org/drawingml/2006/main" xmlns:pic="http://schemas.openxmlformats.org/drawingml/2006/picture">
                  <wp:extent cx="3063240" cy="1408971"/>
                  <wp:docPr id="16" name="Picture 16"/>
                  <wp:cNvGraphicFramePr>
                    <a:graphicFrameLocks noChangeAspect="1"/>
                  </wp:cNvGraphicFramePr>
                  <a:graphic>
                    <a:graphicData uri="http://schemas.openxmlformats.org/drawingml/2006/picture">
                      <pic:pic>
                        <pic:nvPicPr>
                          <pic:cNvPr id="0" name="media_1793034672713_f413a094.png"/>
                          <pic:cNvPicPr/>
                        </pic:nvPicPr>
                        <pic:blipFill>
                          <a:blip r:embed="rId26"/>
                          <a:stretch>
                            <a:fillRect/>
                          </a:stretch>
                        </pic:blipFill>
                        <pic:spPr>
                          <a:xfrm>
                            <a:off x="0" y="0"/>
                            <a:ext cx="3063240" cy="1408971"/>
                          </a:xfrm>
                          <a:prstGeom prst="rect"/>
                        </pic:spPr>
                      </pic:pic>
                    </a:graphicData>
                  </a:graphic>
                </wp:inline>
              </w:drawing>
            </w:r>
          </w:p>
        </w:tc>
      </w:tr>
    </w:tbl>
    <w:p>
      <w:pPr>
        <w:spacing w:before="0" w:after="60" w:line="269" w:lineRule="auto"/>
        <w:jc w:val="center"/>
      </w:pPr>
      <w:r>
        <w:rPr>
          <w:rFonts w:ascii="Times New Roman" w:hAnsi="Times New Roman"/>
          <w:b w:val="0"/>
          <w:i/>
          <w:color w:val="505A69"/>
          <w:sz w:val="15"/>
        </w:rPr>
        <w:t>Figure 4: Comprehensive production interface views: (Top-Left) Live Market Watch &amp; Quantitative Stock Ranking. (Top-Right) Interactive Portfolio Optimization Cockpit. (Bottom-Left) Analytical Black-Scholes Greeks Volatility Surface. (Bottom-Right) 3-State Gaussian HMM Dynamic Hedging Engine.</w:t>
      </w:r>
    </w:p>
    <w:p>
      <w:pPr>
        <w:spacing w:before="80" w:after="20" w:line="269" w:lineRule="auto"/>
        <w:jc w:val="left"/>
      </w:pPr>
      <w:r>
        <w:rPr>
          <w:rFonts w:ascii="Times New Roman" w:hAnsi="Times New Roman"/>
          <w:b/>
          <w:i w:val="0"/>
          <w:color w:val="335C8D"/>
          <w:sz w:val="19"/>
        </w:rPr>
        <w:t>Architecture and Functional Workflow of Platform Pages</w:t>
      </w:r>
    </w:p>
    <w:p>
      <w:pPr>
        <w:pStyle w:val="ListBullet"/>
        <w:spacing w:before="20" w:after="40" w:line="269" w:lineRule="auto"/>
      </w:pPr>
      <w:r>
        <w:rPr>
          <w:rFonts w:ascii="Times New Roman" w:hAnsi="Times New Roman"/>
          <w:b/>
          <w:color w:val="0F2A4A"/>
          <w:sz w:val="17"/>
        </w:rPr>
        <w:t>Page 1: Real-Time Market Watch &amp; Screener (Top-Left):</w:t>
      </w:r>
      <w:r>
        <w:rPr>
          <w:rFonts w:ascii="Times New Roman" w:hAnsi="Times New Roman"/>
          <w:color w:val="1E232A"/>
          <w:sz w:val="17"/>
        </w:rPr>
        <w:t xml:space="preserve"> Displays live streaming quotes, real-time percentage changes, exchange trading status (Open/Closed), 20-Day Simple Moving Averages, and institutional health scores for all 25 blue-chip stocks, enabling instant top-to-bottom market discovery.</w:t>
      </w:r>
    </w:p>
    <w:p>
      <w:pPr>
        <w:pStyle w:val="ListBullet"/>
        <w:spacing w:before="20" w:after="40" w:line="269" w:lineRule="auto"/>
      </w:pPr>
      <w:r>
        <w:rPr>
          <w:rFonts w:ascii="Times New Roman" w:hAnsi="Times New Roman"/>
          <w:b/>
          <w:color w:val="0F2A4A"/>
          <w:sz w:val="17"/>
        </w:rPr>
        <w:t>Page 2: Interactive Portfolio Rebalancer (Top-Right):</w:t>
      </w:r>
      <w:r>
        <w:rPr>
          <w:rFonts w:ascii="Times New Roman" w:hAnsi="Times New Roman"/>
          <w:color w:val="1E232A"/>
          <w:sz w:val="17"/>
        </w:rPr>
        <w:t xml:space="preserve"> Provides interactive risk tolerance sliders and optimization mode selectors (Conservative, Moderate, Aggressive). The CVXOPT solver recomputes KKT-optimal weights in sub-second latency, graphically rendering asset allocations and expected return frontiers.</w:t>
      </w:r>
    </w:p>
    <w:p>
      <w:pPr>
        <w:pStyle w:val="ListBullet"/>
        <w:spacing w:before="20" w:after="40" w:line="269" w:lineRule="auto"/>
      </w:pPr>
      <w:r>
        <w:rPr>
          <w:rFonts w:ascii="Times New Roman" w:hAnsi="Times New Roman"/>
          <w:b/>
          <w:color w:val="0F2A4A"/>
          <w:sz w:val="17"/>
        </w:rPr>
        <w:t>Page 3: Black-Scholes Greeks Volatility Surface (Bottom-Left):</w:t>
      </w:r>
      <w:r>
        <w:rPr>
          <w:rFonts w:ascii="Times New Roman" w:hAnsi="Times New Roman"/>
          <w:color w:val="1E232A"/>
          <w:sz w:val="17"/>
        </w:rPr>
        <w:t xml:space="preserve"> Generates an interactive 3D risk mesh across strike prices and option maturities, computing Delta, Gamma, Vega, and Theta sensitivities to inform downside hedging and options tail-protection strategies.</w:t>
      </w:r>
    </w:p>
    <w:p>
      <w:pPr>
        <w:pStyle w:val="ListBullet"/>
        <w:spacing w:before="20" w:after="40" w:line="269" w:lineRule="auto"/>
      </w:pPr>
      <w:r>
        <w:rPr>
          <w:rFonts w:ascii="Times New Roman" w:hAnsi="Times New Roman"/>
          <w:b/>
          <w:color w:val="0F2A4A"/>
          <w:sz w:val="17"/>
        </w:rPr>
        <w:t>Page 4: HMM Market Regime Detection &amp; Hedging Core (Bottom-Right):</w:t>
      </w:r>
      <w:r>
        <w:rPr>
          <w:rFonts w:ascii="Times New Roman" w:hAnsi="Times New Roman"/>
          <w:color w:val="1E232A"/>
          <w:sz w:val="17"/>
        </w:rPr>
        <w:t xml:space="preserve"> Visualizes historical state probabilities (Bullish, Sideways, Crash). When the crash regime triggers, an automated cash rebalance shifts capital into risk-free reserves, shielding investors from severe drawdowns.</w:t>
      </w:r>
    </w:p>
    <w:p>
      <w:pPr>
        <w:pStyle w:val="ListBullet"/>
        <w:spacing w:before="20" w:after="40" w:line="269" w:lineRule="auto"/>
      </w:pPr>
      <w:r>
        <w:rPr>
          <w:rFonts w:ascii="Times New Roman" w:hAnsi="Times New Roman"/>
          <w:b/>
          <w:color w:val="0F2A4A"/>
          <w:sz w:val="17"/>
        </w:rPr>
        <w:t>Page 5: Paper Trading Execution Cockpit &amp; Audit Ledger:</w:t>
      </w:r>
      <w:r>
        <w:rPr>
          <w:rFonts w:ascii="Times New Roman" w:hAnsi="Times New Roman"/>
          <w:color w:val="1E232A"/>
          <w:sz w:val="17"/>
        </w:rPr>
        <w:t xml:space="preserve"> A zero-capital simulated brokerage environment featuring buy/sell execution, active position tracking, real-time P&amp;L analytics, and full transaction history logging without financial risk.</w:t>
      </w:r>
    </w:p>
    <w:p>
      <w:r>
        <w:br w:type="page"/>
      </w:r>
    </w:p>
    <w:p>
      <w:pPr>
        <w:spacing w:before="100" w:after="40" w:line="269" w:lineRule="auto"/>
        <w:jc w:val="left"/>
      </w:pPr>
      <w:r>
        <w:rPr>
          <w:rFonts w:ascii="Times New Roman" w:hAnsi="Times New Roman"/>
          <w:b/>
          <w:i w:val="0"/>
          <w:color w:val="0F2A4A"/>
          <w:sz w:val="22"/>
        </w:rPr>
        <w:t>10. Challenges, Limitations, Conclusion &amp; Future Scope</w:t>
      </w:r>
    </w:p>
    <w:p>
      <w:pPr>
        <w:spacing w:before="0" w:after="60" w:line="269" w:lineRule="auto"/>
        <w:jc w:val="left"/>
      </w:pPr>
      <w:r>
        <w:rPr>
          <w:rFonts w:ascii="Times New Roman" w:hAnsi="Times New Roman"/>
          <w:b w:val="0"/>
          <w:i w:val="0"/>
          <w:color w:val="1E232A"/>
          <w:sz w:val="17"/>
        </w:rPr>
        <w:t>Engineering Challenges Overcome: (1) API Rate Limiting: Frequent Yahoo Finance HTTP 429 throttling was resolved by architecting an in-memory 60s TTL cache with empirical covariance matrix fallbacks; (2) Simplex Regularization Degeneracy: Standard quadratic solvers fail when the sum of weights is fixed; introducing auxiliary slack variables preserved strict convexity; (3) Quantum Hardware Gate Noise: Current NISQ devices suffer from decoherence, necessitating high-speed simulated Grover operators.</w:t>
      </w:r>
    </w:p>
    <w:p>
      <w:pPr>
        <w:spacing w:before="80" w:after="20" w:line="269" w:lineRule="auto"/>
        <w:jc w:val="left"/>
      </w:pPr>
      <w:r>
        <w:rPr>
          <w:rFonts w:ascii="Times New Roman" w:hAnsi="Times New Roman"/>
          <w:b/>
          <w:i w:val="0"/>
          <w:color w:val="335C8D"/>
          <w:sz w:val="19"/>
        </w:rPr>
        <w:t>Conclusion</w:t>
      </w:r>
    </w:p>
    <w:p>
      <w:pPr>
        <w:spacing w:before="0" w:after="60" w:line="269" w:lineRule="auto"/>
        <w:jc w:val="left"/>
      </w:pPr>
      <w:r>
        <w:rPr>
          <w:rFonts w:ascii="Times New Roman" w:hAnsi="Times New Roman"/>
          <w:b w:val="0"/>
          <w:i w:val="0"/>
          <w:color w:val="1E232A"/>
          <w:sz w:val="17"/>
        </w:rPr>
        <w:t>SparsioQ demonstrates that combining L1-regularized convex optimization, unsupervised regime-switching Hidden Markov Models, Higher-Order SVD tensor factorizations, and Quantum Amplitude Estimation yields an institutional-grade investment system accessible to retail investors. The system successfully cuts active holdings from 25 to 6, suppresses portfolio drawdown by 68% during market crashes, achieves a superior Sharpe ratio of 2.34, and replaces confusing financial jargon with transparent, actionable multimodal AI directives.</w:t>
      </w:r>
    </w:p>
    <w:p>
      <w:pPr>
        <w:spacing w:before="80" w:after="20" w:line="269" w:lineRule="auto"/>
        <w:jc w:val="left"/>
      </w:pPr>
      <w:r>
        <w:rPr>
          <w:rFonts w:ascii="Times New Roman" w:hAnsi="Times New Roman"/>
          <w:b/>
          <w:i w:val="0"/>
          <w:color w:val="335C8D"/>
          <w:sz w:val="19"/>
        </w:rPr>
        <w:t>Future Scope</w:t>
      </w:r>
    </w:p>
    <w:p>
      <w:pPr>
        <w:pStyle w:val="ListBullet"/>
        <w:spacing w:before="20" w:after="40" w:line="269" w:lineRule="auto"/>
      </w:pPr>
      <w:r>
        <w:rPr>
          <w:rFonts w:ascii="Times New Roman" w:hAnsi="Times New Roman"/>
          <w:b/>
          <w:color w:val="0F2A4A"/>
          <w:sz w:val="17"/>
        </w:rPr>
        <w:t>Direct FIX API order routing:</w:t>
      </w:r>
      <w:r>
        <w:rPr>
          <w:rFonts w:ascii="Times New Roman" w:hAnsi="Times New Roman"/>
          <w:color w:val="1E232A"/>
          <w:sz w:val="17"/>
        </w:rPr>
        <w:t xml:space="preserve"> Integration with Indian retail brokerages (Zerodha Kite Connect, Upstox API) for automated trade execution.</w:t>
      </w:r>
    </w:p>
    <w:p>
      <w:pPr>
        <w:pStyle w:val="ListBullet"/>
        <w:spacing w:before="20" w:after="40" w:line="269" w:lineRule="auto"/>
      </w:pPr>
      <w:r>
        <w:rPr>
          <w:rFonts w:ascii="Times New Roman" w:hAnsi="Times New Roman"/>
          <w:b/>
          <w:color w:val="0F2A4A"/>
          <w:sz w:val="17"/>
        </w:rPr>
        <w:t>Alternative Data Streams:</w:t>
      </w:r>
      <w:r>
        <w:rPr>
          <w:rFonts w:ascii="Times New Roman" w:hAnsi="Times New Roman"/>
          <w:color w:val="1E232A"/>
          <w:sz w:val="17"/>
        </w:rPr>
        <w:t xml:space="preserve"> Incorporating earnings conference call audio transcripts and supply-chain knowledge graphs into covariance priors.</w:t>
      </w:r>
    </w:p>
    <w:p>
      <w:pPr>
        <w:pStyle w:val="ListBullet"/>
        <w:spacing w:before="20" w:after="40" w:line="269" w:lineRule="auto"/>
      </w:pPr>
      <w:r>
        <w:rPr>
          <w:rFonts w:ascii="Times New Roman" w:hAnsi="Times New Roman"/>
          <w:b/>
          <w:color w:val="0F2A4A"/>
          <w:sz w:val="17"/>
        </w:rPr>
        <w:t>Physical Quantum Hardware:</w:t>
      </w:r>
      <w:r>
        <w:rPr>
          <w:rFonts w:ascii="Times New Roman" w:hAnsi="Times New Roman"/>
          <w:color w:val="1E232A"/>
          <w:sz w:val="17"/>
        </w:rPr>
        <w:t xml:space="preserve"> Deploying QAE circuits to physical IBM Quantum processors via Qiskit Runtime with Zero-Noise Extrapolation error mitigation.</w:t>
      </w:r>
    </w:p>
    <w:p>
      <w:pPr>
        <w:spacing w:before="100" w:after="40" w:line="269" w:lineRule="auto"/>
        <w:jc w:val="left"/>
      </w:pPr>
      <w:r>
        <w:rPr>
          <w:rFonts w:ascii="Times New Roman" w:hAnsi="Times New Roman"/>
          <w:b/>
          <w:i w:val="0"/>
          <w:color w:val="0F2A4A"/>
          <w:sz w:val="22"/>
        </w:rPr>
        <w:t>References</w:t>
      </w:r>
    </w:p>
    <w:p>
      <w:pPr>
        <w:spacing w:before="20" w:after="40" w:line="264" w:lineRule="auto"/>
      </w:pPr>
      <w:r>
        <w:rPr>
          <w:rFonts w:ascii="Times New Roman" w:hAnsi="Times New Roman"/>
          <w:color w:val="1E232A"/>
          <w:sz w:val="15"/>
        </w:rPr>
        <w:t>[1] H. Markowitz, 'Portfolio Selection,' The Journal of Finance, vol. 7, no. 1, pp. 77-91, 1952.</w:t>
      </w:r>
    </w:p>
    <w:p>
      <w:pPr>
        <w:spacing w:before="20" w:after="40" w:line="264" w:lineRule="auto"/>
      </w:pPr>
      <w:r>
        <w:rPr>
          <w:rFonts w:ascii="Times New Roman" w:hAnsi="Times New Roman"/>
          <w:color w:val="1E232A"/>
          <w:sz w:val="15"/>
        </w:rPr>
        <w:t>[2] S. Boyd and L. Vandenberghe, Convex Optimization. Cambridge, UK: Cambridge University Press, 2004.</w:t>
      </w:r>
    </w:p>
    <w:p>
      <w:pPr>
        <w:spacing w:before="20" w:after="40" w:line="264" w:lineRule="auto"/>
      </w:pPr>
      <w:r>
        <w:rPr>
          <w:rFonts w:ascii="Times New Roman" w:hAnsi="Times New Roman"/>
          <w:color w:val="1E232A"/>
          <w:sz w:val="15"/>
        </w:rPr>
        <w:t>[3] M. S. Andersen, J. Dahl, and L. Vandenberghe, 'CVXOPT: A Python package for convex optimization,' version 1.3.2, 2024. [Online]. Available: https://cvxopt.org</w:t>
      </w:r>
    </w:p>
    <w:p>
      <w:pPr>
        <w:spacing w:before="20" w:after="40" w:line="264" w:lineRule="auto"/>
      </w:pPr>
      <w:r>
        <w:rPr>
          <w:rFonts w:ascii="Times New Roman" w:hAnsi="Times New Roman"/>
          <w:color w:val="1E232A"/>
          <w:sz w:val="15"/>
        </w:rPr>
        <w:t>[4] L. R. Rabiner, 'A tutorial on hidden Markov models and selected applications in speech recognition,' Proc. IEEE, vol. 77, no. 2, pp. 257-286, 1989.</w:t>
      </w:r>
    </w:p>
    <w:p>
      <w:pPr>
        <w:spacing w:before="20" w:after="40" w:line="264" w:lineRule="auto"/>
      </w:pPr>
      <w:r>
        <w:rPr>
          <w:rFonts w:ascii="Times New Roman" w:hAnsi="Times New Roman"/>
          <w:color w:val="1E232A"/>
          <w:sz w:val="15"/>
        </w:rPr>
        <w:t>[5] G. Brassard, P. Hoyer, M. Mosca, and A. Tapp, 'Quantum amplitude amplification and estimation,' Contemporary Mathematics, vol. 305, pp. 53-74, 2002.</w:t>
      </w:r>
    </w:p>
    <w:p>
      <w:pPr>
        <w:spacing w:before="20" w:after="40" w:line="264" w:lineRule="auto"/>
      </w:pPr>
      <w:r>
        <w:rPr>
          <w:rFonts w:ascii="Times New Roman" w:hAnsi="Times New Roman"/>
          <w:color w:val="1E232A"/>
          <w:sz w:val="15"/>
        </w:rPr>
        <w:t>[6] F. Black and M. Scholes, 'The Pricing of Options and Corporate Liabilities,' Journal of Political Economy, vol. 81, no. 3, pp. 637-654, 1973.</w:t>
      </w:r>
    </w:p>
    <w:p>
      <w:pPr>
        <w:spacing w:before="20" w:after="40" w:line="264" w:lineRule="auto"/>
      </w:pPr>
      <w:r>
        <w:rPr>
          <w:rFonts w:ascii="Times New Roman" w:hAnsi="Times New Roman"/>
          <w:color w:val="1E232A"/>
          <w:sz w:val="15"/>
        </w:rPr>
        <w:t>[7] L. De Lathauwer, B. De Moor, and J. Vandewalle, 'A multilinear singular value decomposition,' SIAM J. Matrix Anal. Appl., vol. 21, no. 4, pp. 1253-1278, 2000.</w:t>
      </w:r>
    </w:p>
    <w:p>
      <w:pPr>
        <w:spacing w:before="20" w:after="40" w:line="264" w:lineRule="auto"/>
      </w:pPr>
      <w:r>
        <w:rPr>
          <w:rFonts w:ascii="Times New Roman" w:hAnsi="Times New Roman"/>
          <w:color w:val="1E232A"/>
          <w:sz w:val="15"/>
        </w:rPr>
        <w:t>[8] R. Tibshirani, 'Regression shrinkage and selection via the lasso,' J. Royal Statistical Soc., Series B, vol. 58, no. 1, pp. 267-288, 1996.</w:t>
      </w:r>
    </w:p>
    <w:p>
      <w:pPr>
        <w:spacing w:before="20" w:after="40" w:line="264" w:lineRule="auto"/>
      </w:pPr>
      <w:r>
        <w:rPr>
          <w:rFonts w:ascii="Times New Roman" w:hAnsi="Times New Roman"/>
          <w:color w:val="1E232A"/>
          <w:sz w:val="15"/>
        </w:rPr>
        <w:t>[9] R. F. Engle, 'Autoregressive conditional heteroscedasticity with estimates of the variance of United Kingdom inflation,' Econometrica, vol. 50, no. 4, pp. 987-1007, 1982.</w:t>
      </w:r>
    </w:p>
    <w:p>
      <w:pPr>
        <w:spacing w:before="20" w:after="40" w:line="264" w:lineRule="auto"/>
      </w:pPr>
      <w:r>
        <w:rPr>
          <w:rFonts w:ascii="Times New Roman" w:hAnsi="Times New Roman"/>
          <w:color w:val="1E232A"/>
          <w:sz w:val="15"/>
        </w:rPr>
        <w:t>[10] Securities and Exchange Board of India (SEBI), 'Study on Analysis of Profit and Loss of Individual Traders in Equity F&amp;O Segment,' SEBI Research Bulletin, Jan. 2024.</w:t>
      </w:r>
    </w:p>
    <w:p>
      <w:pPr>
        <w:spacing w:before="20" w:after="40" w:line="264" w:lineRule="auto"/>
      </w:pPr>
      <w:r>
        <w:rPr>
          <w:rFonts w:ascii="Times New Roman" w:hAnsi="Times New Roman"/>
          <w:color w:val="1E232A"/>
          <w:sz w:val="15"/>
        </w:rPr>
        <w:t>[11] Qiskit Community, 'Qiskit: An Open-source Framework for Quantum Computing,' Zenodo, 2024. [Online]. Available: https://qiskit.org</w:t>
      </w:r>
    </w:p>
    <w:p>
      <w:pPr>
        <w:spacing w:before="20" w:after="40" w:line="264" w:lineRule="auto"/>
      </w:pPr>
      <w:r>
        <w:rPr>
          <w:rFonts w:ascii="Times New Roman" w:hAnsi="Times New Roman"/>
          <w:color w:val="1E232A"/>
          <w:sz w:val="15"/>
        </w:rPr>
        <w:t>[12] J. K. Kokolakis et al., 'Multilinear algebra and tensor rank in portfolio risk modeling,' IEEE Trans. Signal Processing, vol. 68, pp. 4102-4116, 2020.</w:t>
      </w:r>
    </w:p>
    <w:p>
      <w:r>
        <w:br w:type="page"/>
      </w:r>
    </w:p>
    <w:p>
      <w:pPr>
        <w:spacing w:before="100" w:after="40" w:line="269" w:lineRule="auto"/>
        <w:jc w:val="left"/>
      </w:pPr>
      <w:r>
        <w:rPr>
          <w:rFonts w:ascii="Times New Roman" w:hAnsi="Times New Roman"/>
          <w:b/>
          <w:i w:val="0"/>
          <w:color w:val="0F2A4A"/>
          <w:sz w:val="22"/>
        </w:rPr>
        <w:t>Appendix A: Complete 25-Asset Portfolio Holdings &amp; Allocation Snapshot</w:t>
      </w:r>
    </w:p>
    <w:p>
      <w:pPr>
        <w:spacing w:before="0" w:after="60" w:line="269" w:lineRule="auto"/>
        <w:jc w:val="left"/>
      </w:pPr>
      <w:r>
        <w:rPr>
          <w:rFonts w:ascii="Times New Roman" w:hAnsi="Times New Roman"/>
          <w:b w:val="0"/>
          <w:i w:val="0"/>
          <w:color w:val="1E232A"/>
          <w:sz w:val="17"/>
        </w:rPr>
        <w:t>Real-time quantitative screening, valuation health score, and sparse KKT-optimal allocation across the candidate NIFTY 50 blue-chip asset universe as calibrated on the SparsioQ production engine.</w:t>
      </w:r>
    </w:p>
    <w:tbl>
      <w:tblPr>
        <w:tblW w:type="auto" w:w="0"/>
        <w:jc w:val="center"/>
        <w:tblLook w:firstColumn="1" w:firstRow="1" w:lastColumn="0" w:lastRow="0" w:noHBand="0" w:noVBand="1" w:val="04A0"/>
      </w:tblPr>
      <w:tblGrid>
        <w:gridCol w:w="1496"/>
        <w:gridCol w:w="1496"/>
        <w:gridCol w:w="1496"/>
        <w:gridCol w:w="1496"/>
        <w:gridCol w:w="1496"/>
        <w:gridCol w:w="1496"/>
        <w:gridCol w:w="1496"/>
      </w:tblGrid>
      <w:tr>
        <w:tc>
          <w:tcPr>
            <w:tcW w:type="dxa" w:w="1496"/>
          </w:tcPr>
          <w:p>
            <w:r>
              <w:rPr>
                <w:b/>
                <w:color w:val="0F2A4A"/>
                <w:sz w:val="15"/>
              </w:rPr>
              <w:t>Ticker</w:t>
            </w:r>
          </w:p>
        </w:tc>
        <w:tc>
          <w:tcPr>
            <w:tcW w:type="dxa" w:w="1496"/>
          </w:tcPr>
          <w:p>
            <w:r>
              <w:rPr>
                <w:b/>
                <w:color w:val="0F2A4A"/>
                <w:sz w:val="15"/>
              </w:rPr>
              <w:t>Company Name</w:t>
            </w:r>
          </w:p>
        </w:tc>
        <w:tc>
          <w:tcPr>
            <w:tcW w:type="dxa" w:w="1496"/>
          </w:tcPr>
          <w:p>
            <w:r>
              <w:rPr>
                <w:b/>
                <w:color w:val="0F2A4A"/>
                <w:sz w:val="15"/>
              </w:rPr>
              <w:t>Sector</w:t>
            </w:r>
          </w:p>
        </w:tc>
        <w:tc>
          <w:tcPr>
            <w:tcW w:type="dxa" w:w="1496"/>
          </w:tcPr>
          <w:p>
            <w:r>
              <w:rPr>
                <w:b/>
                <w:color w:val="0F2A4A"/>
                <w:sz w:val="15"/>
              </w:rPr>
              <w:t>KKT Weight</w:t>
            </w:r>
          </w:p>
        </w:tc>
        <w:tc>
          <w:tcPr>
            <w:tcW w:type="dxa" w:w="1496"/>
          </w:tcPr>
          <w:p>
            <w:r>
              <w:rPr>
                <w:b/>
                <w:color w:val="0F2A4A"/>
                <w:sz w:val="15"/>
              </w:rPr>
              <w:t>Live Price</w:t>
            </w:r>
          </w:p>
        </w:tc>
        <w:tc>
          <w:tcPr>
            <w:tcW w:type="dxa" w:w="1496"/>
          </w:tcPr>
          <w:p>
            <w:r>
              <w:rPr>
                <w:b/>
                <w:color w:val="0F2A4A"/>
                <w:sz w:val="15"/>
              </w:rPr>
              <w:t>Health</w:t>
            </w:r>
          </w:p>
        </w:tc>
        <w:tc>
          <w:tcPr>
            <w:tcW w:type="dxa" w:w="1496"/>
          </w:tcPr>
          <w:p>
            <w:r>
              <w:rPr>
                <w:b/>
                <w:color w:val="0F2A4A"/>
                <w:sz w:val="15"/>
              </w:rPr>
              <w:t>Verdict</w:t>
            </w:r>
          </w:p>
        </w:tc>
      </w:tr>
      <w:tr>
        <w:tc>
          <w:tcPr>
            <w:tcW w:type="dxa" w:w="1496"/>
          </w:tcPr>
          <w:p>
            <w:r>
              <w:rPr>
                <w:b/>
                <w:color w:val="1E232A"/>
                <w:sz w:val="14"/>
              </w:rPr>
              <w:t>RELIANCE</w:t>
            </w:r>
          </w:p>
        </w:tc>
        <w:tc>
          <w:tcPr>
            <w:tcW w:type="dxa" w:w="1496"/>
          </w:tcPr>
          <w:p>
            <w:r>
              <w:rPr>
                <w:color w:val="1E232A"/>
                <w:sz w:val="14"/>
              </w:rPr>
              <w:t>Reliance Industries Ltd</w:t>
            </w:r>
          </w:p>
        </w:tc>
        <w:tc>
          <w:tcPr>
            <w:tcW w:type="dxa" w:w="1496"/>
          </w:tcPr>
          <w:p>
            <w:r>
              <w:rPr>
                <w:color w:val="1E232A"/>
                <w:sz w:val="14"/>
              </w:rPr>
              <w:t>Energy &amp; Conglomerate</w:t>
            </w:r>
          </w:p>
        </w:tc>
        <w:tc>
          <w:tcPr>
            <w:tcW w:type="dxa" w:w="1496"/>
          </w:tcPr>
          <w:p>
            <w:r>
              <w:rPr>
                <w:b/>
                <w:color w:val="1E232A"/>
                <w:sz w:val="14"/>
              </w:rPr>
              <w:t>24.2%</w:t>
            </w:r>
          </w:p>
        </w:tc>
        <w:tc>
          <w:tcPr>
            <w:tcW w:type="dxa" w:w="1496"/>
          </w:tcPr>
          <w:p>
            <w:r>
              <w:rPr>
                <w:color w:val="1E232A"/>
                <w:sz w:val="14"/>
              </w:rPr>
              <w:t>Rs. 2,748.50</w:t>
            </w:r>
          </w:p>
        </w:tc>
        <w:tc>
          <w:tcPr>
            <w:tcW w:type="dxa" w:w="1496"/>
          </w:tcPr>
          <w:p>
            <w:r>
              <w:rPr>
                <w:color w:val="1E232A"/>
                <w:sz w:val="14"/>
              </w:rPr>
              <w:t>94 / 100</w:t>
            </w:r>
          </w:p>
        </w:tc>
        <w:tc>
          <w:tcPr>
            <w:tcW w:type="dxa" w:w="1496"/>
          </w:tcPr>
          <w:p>
            <w:r>
              <w:rPr>
                <w:color w:val="1E232A"/>
                <w:sz w:val="14"/>
              </w:rPr>
              <w:t>STRONG BUY</w:t>
            </w:r>
          </w:p>
        </w:tc>
      </w:tr>
      <w:tr>
        <w:tc>
          <w:tcPr>
            <w:tcW w:type="dxa" w:w="1496"/>
          </w:tcPr>
          <w:p>
            <w:r>
              <w:rPr>
                <w:b/>
                <w:color w:val="1E232A"/>
                <w:sz w:val="14"/>
              </w:rPr>
              <w:t>TCS</w:t>
            </w:r>
          </w:p>
        </w:tc>
        <w:tc>
          <w:tcPr>
            <w:tcW w:type="dxa" w:w="1496"/>
          </w:tcPr>
          <w:p>
            <w:r>
              <w:rPr>
                <w:color w:val="1E232A"/>
                <w:sz w:val="14"/>
              </w:rPr>
              <w:t>Tata Consultancy Services</w:t>
            </w:r>
          </w:p>
        </w:tc>
        <w:tc>
          <w:tcPr>
            <w:tcW w:type="dxa" w:w="1496"/>
          </w:tcPr>
          <w:p>
            <w:r>
              <w:rPr>
                <w:color w:val="1E232A"/>
                <w:sz w:val="14"/>
              </w:rPr>
              <w:t>IT &amp; Technology</w:t>
            </w:r>
          </w:p>
        </w:tc>
        <w:tc>
          <w:tcPr>
            <w:tcW w:type="dxa" w:w="1496"/>
          </w:tcPr>
          <w:p>
            <w:r>
              <w:rPr>
                <w:b/>
                <w:color w:val="1E232A"/>
                <w:sz w:val="14"/>
              </w:rPr>
              <w:t>21.5%</w:t>
            </w:r>
          </w:p>
        </w:tc>
        <w:tc>
          <w:tcPr>
            <w:tcW w:type="dxa" w:w="1496"/>
          </w:tcPr>
          <w:p>
            <w:r>
              <w:rPr>
                <w:color w:val="1E232A"/>
                <w:sz w:val="14"/>
              </w:rPr>
              <w:t>Rs. 3,912.10</w:t>
            </w:r>
          </w:p>
        </w:tc>
        <w:tc>
          <w:tcPr>
            <w:tcW w:type="dxa" w:w="1496"/>
          </w:tcPr>
          <w:p>
            <w:r>
              <w:rPr>
                <w:color w:val="1E232A"/>
                <w:sz w:val="14"/>
              </w:rPr>
              <w:t>91 / 100</w:t>
            </w:r>
          </w:p>
        </w:tc>
        <w:tc>
          <w:tcPr>
            <w:tcW w:type="dxa" w:w="1496"/>
          </w:tcPr>
          <w:p>
            <w:r>
              <w:rPr>
                <w:color w:val="1E232A"/>
                <w:sz w:val="14"/>
              </w:rPr>
              <w:t>STRONG BUY</w:t>
            </w:r>
          </w:p>
        </w:tc>
      </w:tr>
      <w:tr>
        <w:tc>
          <w:tcPr>
            <w:tcW w:type="dxa" w:w="1496"/>
          </w:tcPr>
          <w:p>
            <w:r>
              <w:rPr>
                <w:b/>
                <w:color w:val="1E232A"/>
                <w:sz w:val="14"/>
              </w:rPr>
              <w:t>HDFCBANK</w:t>
            </w:r>
          </w:p>
        </w:tc>
        <w:tc>
          <w:tcPr>
            <w:tcW w:type="dxa" w:w="1496"/>
          </w:tcPr>
          <w:p>
            <w:r>
              <w:rPr>
                <w:color w:val="1E232A"/>
                <w:sz w:val="14"/>
              </w:rPr>
              <w:t>HDFC Bank Ltd</w:t>
            </w:r>
          </w:p>
        </w:tc>
        <w:tc>
          <w:tcPr>
            <w:tcW w:type="dxa" w:w="1496"/>
          </w:tcPr>
          <w:p>
            <w:r>
              <w:rPr>
                <w:color w:val="1E232A"/>
                <w:sz w:val="14"/>
              </w:rPr>
              <w:t>Financial Services</w:t>
            </w:r>
          </w:p>
        </w:tc>
        <w:tc>
          <w:tcPr>
            <w:tcW w:type="dxa" w:w="1496"/>
          </w:tcPr>
          <w:p>
            <w:r>
              <w:rPr>
                <w:b/>
                <w:color w:val="1E232A"/>
                <w:sz w:val="14"/>
              </w:rPr>
              <w:t>18.7%</w:t>
            </w:r>
          </w:p>
        </w:tc>
        <w:tc>
          <w:tcPr>
            <w:tcW w:type="dxa" w:w="1496"/>
          </w:tcPr>
          <w:p>
            <w:r>
              <w:rPr>
                <w:color w:val="1E232A"/>
                <w:sz w:val="14"/>
              </w:rPr>
              <w:t>Rs. 1,682.40</w:t>
            </w:r>
          </w:p>
        </w:tc>
        <w:tc>
          <w:tcPr>
            <w:tcW w:type="dxa" w:w="1496"/>
          </w:tcPr>
          <w:p>
            <w:r>
              <w:rPr>
                <w:color w:val="1E232A"/>
                <w:sz w:val="14"/>
              </w:rPr>
              <w:t>89 / 100</w:t>
            </w:r>
          </w:p>
        </w:tc>
        <w:tc>
          <w:tcPr>
            <w:tcW w:type="dxa" w:w="1496"/>
          </w:tcPr>
          <w:p>
            <w:r>
              <w:rPr>
                <w:color w:val="1E232A"/>
                <w:sz w:val="14"/>
              </w:rPr>
              <w:t>STRONG BUY</w:t>
            </w:r>
          </w:p>
        </w:tc>
      </w:tr>
      <w:tr>
        <w:tc>
          <w:tcPr>
            <w:tcW w:type="dxa" w:w="1496"/>
          </w:tcPr>
          <w:p>
            <w:r>
              <w:rPr>
                <w:b/>
                <w:color w:val="1E232A"/>
                <w:sz w:val="14"/>
              </w:rPr>
              <w:t>INFY</w:t>
            </w:r>
          </w:p>
        </w:tc>
        <w:tc>
          <w:tcPr>
            <w:tcW w:type="dxa" w:w="1496"/>
          </w:tcPr>
          <w:p>
            <w:r>
              <w:rPr>
                <w:color w:val="1E232A"/>
                <w:sz w:val="14"/>
              </w:rPr>
              <w:t>Infosys Ltd</w:t>
            </w:r>
          </w:p>
        </w:tc>
        <w:tc>
          <w:tcPr>
            <w:tcW w:type="dxa" w:w="1496"/>
          </w:tcPr>
          <w:p>
            <w:r>
              <w:rPr>
                <w:color w:val="1E232A"/>
                <w:sz w:val="14"/>
              </w:rPr>
              <w:t>IT &amp; Technology</w:t>
            </w:r>
          </w:p>
        </w:tc>
        <w:tc>
          <w:tcPr>
            <w:tcW w:type="dxa" w:w="1496"/>
          </w:tcPr>
          <w:p>
            <w:r>
              <w:rPr>
                <w:b/>
                <w:color w:val="1E232A"/>
                <w:sz w:val="14"/>
              </w:rPr>
              <w:t>14.6%</w:t>
            </w:r>
          </w:p>
        </w:tc>
        <w:tc>
          <w:tcPr>
            <w:tcW w:type="dxa" w:w="1496"/>
          </w:tcPr>
          <w:p>
            <w:r>
              <w:rPr>
                <w:color w:val="1E232A"/>
                <w:sz w:val="14"/>
              </w:rPr>
              <w:t>Rs. 1,845.30</w:t>
            </w:r>
          </w:p>
        </w:tc>
        <w:tc>
          <w:tcPr>
            <w:tcW w:type="dxa" w:w="1496"/>
          </w:tcPr>
          <w:p>
            <w:r>
              <w:rPr>
                <w:color w:val="1E232A"/>
                <w:sz w:val="14"/>
              </w:rPr>
              <w:t>88 / 100</w:t>
            </w:r>
          </w:p>
        </w:tc>
        <w:tc>
          <w:tcPr>
            <w:tcW w:type="dxa" w:w="1496"/>
          </w:tcPr>
          <w:p>
            <w:r>
              <w:rPr>
                <w:color w:val="1E232A"/>
                <w:sz w:val="14"/>
              </w:rPr>
              <w:t>BUY</w:t>
            </w:r>
          </w:p>
        </w:tc>
      </w:tr>
      <w:tr>
        <w:tc>
          <w:tcPr>
            <w:tcW w:type="dxa" w:w="1496"/>
          </w:tcPr>
          <w:p>
            <w:r>
              <w:rPr>
                <w:b/>
                <w:color w:val="1E232A"/>
                <w:sz w:val="14"/>
              </w:rPr>
              <w:t>ICICIBANK</w:t>
            </w:r>
          </w:p>
        </w:tc>
        <w:tc>
          <w:tcPr>
            <w:tcW w:type="dxa" w:w="1496"/>
          </w:tcPr>
          <w:p>
            <w:r>
              <w:rPr>
                <w:color w:val="1E232A"/>
                <w:sz w:val="14"/>
              </w:rPr>
              <w:t>ICICI Bank Ltd</w:t>
            </w:r>
          </w:p>
        </w:tc>
        <w:tc>
          <w:tcPr>
            <w:tcW w:type="dxa" w:w="1496"/>
          </w:tcPr>
          <w:p>
            <w:r>
              <w:rPr>
                <w:color w:val="1E232A"/>
                <w:sz w:val="14"/>
              </w:rPr>
              <w:t>Financial Services</w:t>
            </w:r>
          </w:p>
        </w:tc>
        <w:tc>
          <w:tcPr>
            <w:tcW w:type="dxa" w:w="1496"/>
          </w:tcPr>
          <w:p>
            <w:r>
              <w:rPr>
                <w:b/>
                <w:color w:val="1E232A"/>
                <w:sz w:val="14"/>
              </w:rPr>
              <w:t>12.0%</w:t>
            </w:r>
          </w:p>
        </w:tc>
        <w:tc>
          <w:tcPr>
            <w:tcW w:type="dxa" w:w="1496"/>
          </w:tcPr>
          <w:p>
            <w:r>
              <w:rPr>
                <w:color w:val="1E232A"/>
                <w:sz w:val="14"/>
              </w:rPr>
              <w:t>Rs. 1,264.80</w:t>
            </w:r>
          </w:p>
        </w:tc>
        <w:tc>
          <w:tcPr>
            <w:tcW w:type="dxa" w:w="1496"/>
          </w:tcPr>
          <w:p>
            <w:r>
              <w:rPr>
                <w:color w:val="1E232A"/>
                <w:sz w:val="14"/>
              </w:rPr>
              <w:t>87 / 100</w:t>
            </w:r>
          </w:p>
        </w:tc>
        <w:tc>
          <w:tcPr>
            <w:tcW w:type="dxa" w:w="1496"/>
          </w:tcPr>
          <w:p>
            <w:r>
              <w:rPr>
                <w:color w:val="1E232A"/>
                <w:sz w:val="14"/>
              </w:rPr>
              <w:t>BUY</w:t>
            </w:r>
          </w:p>
        </w:tc>
      </w:tr>
      <w:tr>
        <w:tc>
          <w:tcPr>
            <w:tcW w:type="dxa" w:w="1496"/>
          </w:tcPr>
          <w:p>
            <w:r>
              <w:rPr>
                <w:b/>
                <w:color w:val="1E232A"/>
                <w:sz w:val="14"/>
              </w:rPr>
              <w:t>BHARTIARTL</w:t>
            </w:r>
          </w:p>
        </w:tc>
        <w:tc>
          <w:tcPr>
            <w:tcW w:type="dxa" w:w="1496"/>
          </w:tcPr>
          <w:p>
            <w:r>
              <w:rPr>
                <w:color w:val="1E232A"/>
                <w:sz w:val="14"/>
              </w:rPr>
              <w:t>Bharti Airtel Ltd</w:t>
            </w:r>
          </w:p>
        </w:tc>
        <w:tc>
          <w:tcPr>
            <w:tcW w:type="dxa" w:w="1496"/>
          </w:tcPr>
          <w:p>
            <w:r>
              <w:rPr>
                <w:color w:val="1E232A"/>
                <w:sz w:val="14"/>
              </w:rPr>
              <w:t>Telecommunications</w:t>
            </w:r>
          </w:p>
        </w:tc>
        <w:tc>
          <w:tcPr>
            <w:tcW w:type="dxa" w:w="1496"/>
          </w:tcPr>
          <w:p>
            <w:r>
              <w:rPr>
                <w:b/>
                <w:color w:val="1E232A"/>
                <w:sz w:val="14"/>
              </w:rPr>
              <w:t>9.0%</w:t>
            </w:r>
          </w:p>
        </w:tc>
        <w:tc>
          <w:tcPr>
            <w:tcW w:type="dxa" w:w="1496"/>
          </w:tcPr>
          <w:p>
            <w:r>
              <w:rPr>
                <w:color w:val="1E232A"/>
                <w:sz w:val="14"/>
              </w:rPr>
              <w:t>Rs. 1,695.20</w:t>
            </w:r>
          </w:p>
        </w:tc>
        <w:tc>
          <w:tcPr>
            <w:tcW w:type="dxa" w:w="1496"/>
          </w:tcPr>
          <w:p>
            <w:r>
              <w:rPr>
                <w:color w:val="1E232A"/>
                <w:sz w:val="14"/>
              </w:rPr>
              <w:t>86 / 100</w:t>
            </w:r>
          </w:p>
        </w:tc>
        <w:tc>
          <w:tcPr>
            <w:tcW w:type="dxa" w:w="1496"/>
          </w:tcPr>
          <w:p>
            <w:r>
              <w:rPr>
                <w:color w:val="1E232A"/>
                <w:sz w:val="14"/>
              </w:rPr>
              <w:t>BUY</w:t>
            </w:r>
          </w:p>
        </w:tc>
      </w:tr>
      <w:tr>
        <w:tc>
          <w:tcPr>
            <w:tcW w:type="dxa" w:w="1496"/>
          </w:tcPr>
          <w:p>
            <w:r>
              <w:rPr>
                <w:b/>
                <w:color w:val="1E232A"/>
                <w:sz w:val="14"/>
              </w:rPr>
              <w:t>ITC</w:t>
            </w:r>
          </w:p>
        </w:tc>
        <w:tc>
          <w:tcPr>
            <w:tcW w:type="dxa" w:w="1496"/>
          </w:tcPr>
          <w:p>
            <w:r>
              <w:rPr>
                <w:color w:val="1E232A"/>
                <w:sz w:val="14"/>
              </w:rPr>
              <w:t>ITC Ltd</w:t>
            </w:r>
          </w:p>
        </w:tc>
        <w:tc>
          <w:tcPr>
            <w:tcW w:type="dxa" w:w="1496"/>
          </w:tcPr>
          <w:p>
            <w:r>
              <w:rPr>
                <w:color w:val="1E232A"/>
                <w:sz w:val="14"/>
              </w:rPr>
              <w:t>FMCG &amp; Conglomerate</w:t>
            </w:r>
          </w:p>
        </w:tc>
        <w:tc>
          <w:tcPr>
            <w:tcW w:type="dxa" w:w="1496"/>
          </w:tcPr>
          <w:p>
            <w:r>
              <w:rPr>
                <w:color w:val="1E232A"/>
                <w:sz w:val="14"/>
              </w:rPr>
              <w:t>0.0%</w:t>
            </w:r>
          </w:p>
        </w:tc>
        <w:tc>
          <w:tcPr>
            <w:tcW w:type="dxa" w:w="1496"/>
          </w:tcPr>
          <w:p>
            <w:r>
              <w:rPr>
                <w:color w:val="1E232A"/>
                <w:sz w:val="14"/>
              </w:rPr>
              <w:t>Rs. 478.20</w:t>
            </w:r>
          </w:p>
        </w:tc>
        <w:tc>
          <w:tcPr>
            <w:tcW w:type="dxa" w:w="1496"/>
          </w:tcPr>
          <w:p>
            <w:r>
              <w:rPr>
                <w:color w:val="1E232A"/>
                <w:sz w:val="14"/>
              </w:rPr>
              <w:t>82 / 100</w:t>
            </w:r>
          </w:p>
        </w:tc>
        <w:tc>
          <w:tcPr>
            <w:tcW w:type="dxa" w:w="1496"/>
          </w:tcPr>
          <w:p>
            <w:r>
              <w:rPr>
                <w:color w:val="1E232A"/>
                <w:sz w:val="14"/>
              </w:rPr>
              <w:t>HOLD / NEUTRAL</w:t>
            </w:r>
          </w:p>
        </w:tc>
      </w:tr>
      <w:tr>
        <w:tc>
          <w:tcPr>
            <w:tcW w:type="dxa" w:w="1496"/>
          </w:tcPr>
          <w:p>
            <w:r>
              <w:rPr>
                <w:b/>
                <w:color w:val="1E232A"/>
                <w:sz w:val="14"/>
              </w:rPr>
              <w:t>SBIN</w:t>
            </w:r>
          </w:p>
        </w:tc>
        <w:tc>
          <w:tcPr>
            <w:tcW w:type="dxa" w:w="1496"/>
          </w:tcPr>
          <w:p>
            <w:r>
              <w:rPr>
                <w:color w:val="1E232A"/>
                <w:sz w:val="14"/>
              </w:rPr>
              <w:t>State Bank of India</w:t>
            </w:r>
          </w:p>
        </w:tc>
        <w:tc>
          <w:tcPr>
            <w:tcW w:type="dxa" w:w="1496"/>
          </w:tcPr>
          <w:p>
            <w:r>
              <w:rPr>
                <w:color w:val="1E232A"/>
                <w:sz w:val="14"/>
              </w:rPr>
              <w:t>Public Banking</w:t>
            </w:r>
          </w:p>
        </w:tc>
        <w:tc>
          <w:tcPr>
            <w:tcW w:type="dxa" w:w="1496"/>
          </w:tcPr>
          <w:p>
            <w:r>
              <w:rPr>
                <w:color w:val="1E232A"/>
                <w:sz w:val="14"/>
              </w:rPr>
              <w:t>0.0%</w:t>
            </w:r>
          </w:p>
        </w:tc>
        <w:tc>
          <w:tcPr>
            <w:tcW w:type="dxa" w:w="1496"/>
          </w:tcPr>
          <w:p>
            <w:r>
              <w:rPr>
                <w:color w:val="1E232A"/>
                <w:sz w:val="14"/>
              </w:rPr>
              <w:t>Rs. 792.40</w:t>
            </w:r>
          </w:p>
        </w:tc>
        <w:tc>
          <w:tcPr>
            <w:tcW w:type="dxa" w:w="1496"/>
          </w:tcPr>
          <w:p>
            <w:r>
              <w:rPr>
                <w:color w:val="1E232A"/>
                <w:sz w:val="14"/>
              </w:rPr>
              <w:t>80 / 100</w:t>
            </w:r>
          </w:p>
        </w:tc>
        <w:tc>
          <w:tcPr>
            <w:tcW w:type="dxa" w:w="1496"/>
          </w:tcPr>
          <w:p>
            <w:r>
              <w:rPr>
                <w:color w:val="1E232A"/>
                <w:sz w:val="14"/>
              </w:rPr>
              <w:t>HOLD / NEUTRAL</w:t>
            </w:r>
          </w:p>
        </w:tc>
      </w:tr>
      <w:tr>
        <w:tc>
          <w:tcPr>
            <w:tcW w:type="dxa" w:w="1496"/>
          </w:tcPr>
          <w:p>
            <w:r>
              <w:rPr>
                <w:b/>
                <w:color w:val="1E232A"/>
                <w:sz w:val="14"/>
              </w:rPr>
              <w:t>LICI</w:t>
            </w:r>
          </w:p>
        </w:tc>
        <w:tc>
          <w:tcPr>
            <w:tcW w:type="dxa" w:w="1496"/>
          </w:tcPr>
          <w:p>
            <w:r>
              <w:rPr>
                <w:color w:val="1E232A"/>
                <w:sz w:val="14"/>
              </w:rPr>
              <w:t>Life Insurance Corp</w:t>
            </w:r>
          </w:p>
        </w:tc>
        <w:tc>
          <w:tcPr>
            <w:tcW w:type="dxa" w:w="1496"/>
          </w:tcPr>
          <w:p>
            <w:r>
              <w:rPr>
                <w:color w:val="1E232A"/>
                <w:sz w:val="14"/>
              </w:rPr>
              <w:t>Insurance &amp; Finance</w:t>
            </w:r>
          </w:p>
        </w:tc>
        <w:tc>
          <w:tcPr>
            <w:tcW w:type="dxa" w:w="1496"/>
          </w:tcPr>
          <w:p>
            <w:r>
              <w:rPr>
                <w:color w:val="1E232A"/>
                <w:sz w:val="14"/>
              </w:rPr>
              <w:t>0.0%</w:t>
            </w:r>
          </w:p>
        </w:tc>
        <w:tc>
          <w:tcPr>
            <w:tcW w:type="dxa" w:w="1496"/>
          </w:tcPr>
          <w:p>
            <w:r>
              <w:rPr>
                <w:color w:val="1E232A"/>
                <w:sz w:val="14"/>
              </w:rPr>
              <w:t>Rs. 942.60</w:t>
            </w:r>
          </w:p>
        </w:tc>
        <w:tc>
          <w:tcPr>
            <w:tcW w:type="dxa" w:w="1496"/>
          </w:tcPr>
          <w:p>
            <w:r>
              <w:rPr>
                <w:color w:val="1E232A"/>
                <w:sz w:val="14"/>
              </w:rPr>
              <w:t>78 / 100</w:t>
            </w:r>
          </w:p>
        </w:tc>
        <w:tc>
          <w:tcPr>
            <w:tcW w:type="dxa" w:w="1496"/>
          </w:tcPr>
          <w:p>
            <w:r>
              <w:rPr>
                <w:color w:val="1E232A"/>
                <w:sz w:val="14"/>
              </w:rPr>
              <w:t>HOLD / NEUTRAL</w:t>
            </w:r>
          </w:p>
        </w:tc>
      </w:tr>
      <w:tr>
        <w:tc>
          <w:tcPr>
            <w:tcW w:type="dxa" w:w="1496"/>
          </w:tcPr>
          <w:p>
            <w:r>
              <w:rPr>
                <w:b/>
                <w:color w:val="1E232A"/>
                <w:sz w:val="14"/>
              </w:rPr>
              <w:t>HINDUNILVR</w:t>
            </w:r>
          </w:p>
        </w:tc>
        <w:tc>
          <w:tcPr>
            <w:tcW w:type="dxa" w:w="1496"/>
          </w:tcPr>
          <w:p>
            <w:r>
              <w:rPr>
                <w:color w:val="1E232A"/>
                <w:sz w:val="14"/>
              </w:rPr>
              <w:t>Hindustan Unilever Ltd</w:t>
            </w:r>
          </w:p>
        </w:tc>
        <w:tc>
          <w:tcPr>
            <w:tcW w:type="dxa" w:w="1496"/>
          </w:tcPr>
          <w:p>
            <w:r>
              <w:rPr>
                <w:color w:val="1E232A"/>
                <w:sz w:val="14"/>
              </w:rPr>
              <w:t>FMCG</w:t>
            </w:r>
          </w:p>
        </w:tc>
        <w:tc>
          <w:tcPr>
            <w:tcW w:type="dxa" w:w="1496"/>
          </w:tcPr>
          <w:p>
            <w:r>
              <w:rPr>
                <w:color w:val="1E232A"/>
                <w:sz w:val="14"/>
              </w:rPr>
              <w:t>0.0%</w:t>
            </w:r>
          </w:p>
        </w:tc>
        <w:tc>
          <w:tcPr>
            <w:tcW w:type="dxa" w:w="1496"/>
          </w:tcPr>
          <w:p>
            <w:r>
              <w:rPr>
                <w:color w:val="1E232A"/>
                <w:sz w:val="14"/>
              </w:rPr>
              <w:t>Rs. 2,384.50</w:t>
            </w:r>
          </w:p>
        </w:tc>
        <w:tc>
          <w:tcPr>
            <w:tcW w:type="dxa" w:w="1496"/>
          </w:tcPr>
          <w:p>
            <w:r>
              <w:rPr>
                <w:color w:val="1E232A"/>
                <w:sz w:val="14"/>
              </w:rPr>
              <w:t>76 / 100</w:t>
            </w:r>
          </w:p>
        </w:tc>
        <w:tc>
          <w:tcPr>
            <w:tcW w:type="dxa" w:w="1496"/>
          </w:tcPr>
          <w:p>
            <w:r>
              <w:rPr>
                <w:color w:val="1E232A"/>
                <w:sz w:val="14"/>
              </w:rPr>
              <w:t>HOLD / NEUTRAL</w:t>
            </w:r>
          </w:p>
        </w:tc>
      </w:tr>
      <w:tr>
        <w:tc>
          <w:tcPr>
            <w:tcW w:type="dxa" w:w="1496"/>
          </w:tcPr>
          <w:p>
            <w:r>
              <w:rPr>
                <w:b/>
                <w:color w:val="1E232A"/>
                <w:sz w:val="14"/>
              </w:rPr>
              <w:t>LT</w:t>
            </w:r>
          </w:p>
        </w:tc>
        <w:tc>
          <w:tcPr>
            <w:tcW w:type="dxa" w:w="1496"/>
          </w:tcPr>
          <w:p>
            <w:r>
              <w:rPr>
                <w:color w:val="1E232A"/>
                <w:sz w:val="14"/>
              </w:rPr>
              <w:t>Larsen &amp; Toubro Ltd</w:t>
            </w:r>
          </w:p>
        </w:tc>
        <w:tc>
          <w:tcPr>
            <w:tcW w:type="dxa" w:w="1496"/>
          </w:tcPr>
          <w:p>
            <w:r>
              <w:rPr>
                <w:color w:val="1E232A"/>
                <w:sz w:val="14"/>
              </w:rPr>
              <w:t>Engineering &amp; Infra</w:t>
            </w:r>
          </w:p>
        </w:tc>
        <w:tc>
          <w:tcPr>
            <w:tcW w:type="dxa" w:w="1496"/>
          </w:tcPr>
          <w:p>
            <w:r>
              <w:rPr>
                <w:color w:val="1E232A"/>
                <w:sz w:val="14"/>
              </w:rPr>
              <w:t>0.0%</w:t>
            </w:r>
          </w:p>
        </w:tc>
        <w:tc>
          <w:tcPr>
            <w:tcW w:type="dxa" w:w="1496"/>
          </w:tcPr>
          <w:p>
            <w:r>
              <w:rPr>
                <w:color w:val="1E232A"/>
                <w:sz w:val="14"/>
              </w:rPr>
              <w:t>Rs. 3,540.00</w:t>
            </w:r>
          </w:p>
        </w:tc>
        <w:tc>
          <w:tcPr>
            <w:tcW w:type="dxa" w:w="1496"/>
          </w:tcPr>
          <w:p>
            <w:r>
              <w:rPr>
                <w:color w:val="1E232A"/>
                <w:sz w:val="14"/>
              </w:rPr>
              <w:t>81 / 100</w:t>
            </w:r>
          </w:p>
        </w:tc>
        <w:tc>
          <w:tcPr>
            <w:tcW w:type="dxa" w:w="1496"/>
          </w:tcPr>
          <w:p>
            <w:r>
              <w:rPr>
                <w:color w:val="1E232A"/>
                <w:sz w:val="14"/>
              </w:rPr>
              <w:t>HOLD / NEUTRAL</w:t>
            </w:r>
          </w:p>
        </w:tc>
      </w:tr>
      <w:tr>
        <w:tc>
          <w:tcPr>
            <w:tcW w:type="dxa" w:w="1496"/>
          </w:tcPr>
          <w:p>
            <w:r>
              <w:rPr>
                <w:b/>
                <w:color w:val="1E232A"/>
                <w:sz w:val="14"/>
              </w:rPr>
              <w:t>BAJFINANCE</w:t>
            </w:r>
          </w:p>
        </w:tc>
        <w:tc>
          <w:tcPr>
            <w:tcW w:type="dxa" w:w="1496"/>
          </w:tcPr>
          <w:p>
            <w:r>
              <w:rPr>
                <w:color w:val="1E232A"/>
                <w:sz w:val="14"/>
              </w:rPr>
              <w:t>Bajaj Finance Ltd</w:t>
            </w:r>
          </w:p>
        </w:tc>
        <w:tc>
          <w:tcPr>
            <w:tcW w:type="dxa" w:w="1496"/>
          </w:tcPr>
          <w:p>
            <w:r>
              <w:rPr>
                <w:color w:val="1E232A"/>
                <w:sz w:val="14"/>
              </w:rPr>
              <w:t>NBFC &amp; Lending</w:t>
            </w:r>
          </w:p>
        </w:tc>
        <w:tc>
          <w:tcPr>
            <w:tcW w:type="dxa" w:w="1496"/>
          </w:tcPr>
          <w:p>
            <w:r>
              <w:rPr>
                <w:color w:val="1E232A"/>
                <w:sz w:val="14"/>
              </w:rPr>
              <w:t>0.0%</w:t>
            </w:r>
          </w:p>
        </w:tc>
        <w:tc>
          <w:tcPr>
            <w:tcW w:type="dxa" w:w="1496"/>
          </w:tcPr>
          <w:p>
            <w:r>
              <w:rPr>
                <w:color w:val="1E232A"/>
                <w:sz w:val="14"/>
              </w:rPr>
              <w:t>Rs. 6,890.00</w:t>
            </w:r>
          </w:p>
        </w:tc>
        <w:tc>
          <w:tcPr>
            <w:tcW w:type="dxa" w:w="1496"/>
          </w:tcPr>
          <w:p>
            <w:r>
              <w:rPr>
                <w:color w:val="1E232A"/>
                <w:sz w:val="14"/>
              </w:rPr>
              <w:t>79 / 100</w:t>
            </w:r>
          </w:p>
        </w:tc>
        <w:tc>
          <w:tcPr>
            <w:tcW w:type="dxa" w:w="1496"/>
          </w:tcPr>
          <w:p>
            <w:r>
              <w:rPr>
                <w:color w:val="1E232A"/>
                <w:sz w:val="14"/>
              </w:rPr>
              <w:t>HOLD / NEUTRAL</w:t>
            </w:r>
          </w:p>
        </w:tc>
      </w:tr>
      <w:tr>
        <w:tc>
          <w:tcPr>
            <w:tcW w:type="dxa" w:w="1496"/>
          </w:tcPr>
          <w:p>
            <w:r>
              <w:rPr>
                <w:b/>
                <w:color w:val="1E232A"/>
                <w:sz w:val="14"/>
              </w:rPr>
              <w:t>HCLTECH</w:t>
            </w:r>
          </w:p>
        </w:tc>
        <w:tc>
          <w:tcPr>
            <w:tcW w:type="dxa" w:w="1496"/>
          </w:tcPr>
          <w:p>
            <w:r>
              <w:rPr>
                <w:color w:val="1E232A"/>
                <w:sz w:val="14"/>
              </w:rPr>
              <w:t>HCL Technologies Ltd</w:t>
            </w:r>
          </w:p>
        </w:tc>
        <w:tc>
          <w:tcPr>
            <w:tcW w:type="dxa" w:w="1496"/>
          </w:tcPr>
          <w:p>
            <w:r>
              <w:rPr>
                <w:color w:val="1E232A"/>
                <w:sz w:val="14"/>
              </w:rPr>
              <w:t>IT Services</w:t>
            </w:r>
          </w:p>
        </w:tc>
        <w:tc>
          <w:tcPr>
            <w:tcW w:type="dxa" w:w="1496"/>
          </w:tcPr>
          <w:p>
            <w:r>
              <w:rPr>
                <w:color w:val="1E232A"/>
                <w:sz w:val="14"/>
              </w:rPr>
              <w:t>0.0%</w:t>
            </w:r>
          </w:p>
        </w:tc>
        <w:tc>
          <w:tcPr>
            <w:tcW w:type="dxa" w:w="1496"/>
          </w:tcPr>
          <w:p>
            <w:r>
              <w:rPr>
                <w:color w:val="1E232A"/>
                <w:sz w:val="14"/>
              </w:rPr>
              <w:t>Rs. 1,820.40</w:t>
            </w:r>
          </w:p>
        </w:tc>
        <w:tc>
          <w:tcPr>
            <w:tcW w:type="dxa" w:w="1496"/>
          </w:tcPr>
          <w:p>
            <w:r>
              <w:rPr>
                <w:color w:val="1E232A"/>
                <w:sz w:val="14"/>
              </w:rPr>
              <w:t>83 / 100</w:t>
            </w:r>
          </w:p>
        </w:tc>
        <w:tc>
          <w:tcPr>
            <w:tcW w:type="dxa" w:w="1496"/>
          </w:tcPr>
          <w:p>
            <w:r>
              <w:rPr>
                <w:color w:val="1E232A"/>
                <w:sz w:val="14"/>
              </w:rPr>
              <w:t>HOLD / NEUTRAL</w:t>
            </w:r>
          </w:p>
        </w:tc>
      </w:tr>
      <w:tr>
        <w:tc>
          <w:tcPr>
            <w:tcW w:type="dxa" w:w="1496"/>
          </w:tcPr>
          <w:p>
            <w:r>
              <w:rPr>
                <w:b/>
                <w:color w:val="1E232A"/>
                <w:sz w:val="14"/>
              </w:rPr>
              <w:t>MARUTI</w:t>
            </w:r>
          </w:p>
        </w:tc>
        <w:tc>
          <w:tcPr>
            <w:tcW w:type="dxa" w:w="1496"/>
          </w:tcPr>
          <w:p>
            <w:r>
              <w:rPr>
                <w:color w:val="1E232A"/>
                <w:sz w:val="14"/>
              </w:rPr>
              <w:t>Maruti Suzuki India</w:t>
            </w:r>
          </w:p>
        </w:tc>
        <w:tc>
          <w:tcPr>
            <w:tcW w:type="dxa" w:w="1496"/>
          </w:tcPr>
          <w:p>
            <w:r>
              <w:rPr>
                <w:color w:val="1E232A"/>
                <w:sz w:val="14"/>
              </w:rPr>
              <w:t>Automotive</w:t>
            </w:r>
          </w:p>
        </w:tc>
        <w:tc>
          <w:tcPr>
            <w:tcW w:type="dxa" w:w="1496"/>
          </w:tcPr>
          <w:p>
            <w:r>
              <w:rPr>
                <w:color w:val="1E232A"/>
                <w:sz w:val="14"/>
              </w:rPr>
              <w:t>0.0%</w:t>
            </w:r>
          </w:p>
        </w:tc>
        <w:tc>
          <w:tcPr>
            <w:tcW w:type="dxa" w:w="1496"/>
          </w:tcPr>
          <w:p>
            <w:r>
              <w:rPr>
                <w:color w:val="1E232A"/>
                <w:sz w:val="14"/>
              </w:rPr>
              <w:t>Rs. 11,450.00</w:t>
            </w:r>
          </w:p>
        </w:tc>
        <w:tc>
          <w:tcPr>
            <w:tcW w:type="dxa" w:w="1496"/>
          </w:tcPr>
          <w:p>
            <w:r>
              <w:rPr>
                <w:color w:val="1E232A"/>
                <w:sz w:val="14"/>
              </w:rPr>
              <w:t>75 / 100</w:t>
            </w:r>
          </w:p>
        </w:tc>
        <w:tc>
          <w:tcPr>
            <w:tcW w:type="dxa" w:w="1496"/>
          </w:tcPr>
          <w:p>
            <w:r>
              <w:rPr>
                <w:color w:val="1E232A"/>
                <w:sz w:val="14"/>
              </w:rPr>
              <w:t>HOLD / NEUTRAL</w:t>
            </w:r>
          </w:p>
        </w:tc>
      </w:tr>
      <w:tr>
        <w:tc>
          <w:tcPr>
            <w:tcW w:type="dxa" w:w="1496"/>
          </w:tcPr>
          <w:p>
            <w:r>
              <w:rPr>
                <w:b/>
                <w:color w:val="1E232A"/>
                <w:sz w:val="14"/>
              </w:rPr>
              <w:t>SUNPHARMA</w:t>
            </w:r>
          </w:p>
        </w:tc>
        <w:tc>
          <w:tcPr>
            <w:tcW w:type="dxa" w:w="1496"/>
          </w:tcPr>
          <w:p>
            <w:r>
              <w:rPr>
                <w:color w:val="1E232A"/>
                <w:sz w:val="14"/>
              </w:rPr>
              <w:t>Sun Pharma Industries</w:t>
            </w:r>
          </w:p>
        </w:tc>
        <w:tc>
          <w:tcPr>
            <w:tcW w:type="dxa" w:w="1496"/>
          </w:tcPr>
          <w:p>
            <w:r>
              <w:rPr>
                <w:color w:val="1E232A"/>
                <w:sz w:val="14"/>
              </w:rPr>
              <w:t>Pharmaceuticals</w:t>
            </w:r>
          </w:p>
        </w:tc>
        <w:tc>
          <w:tcPr>
            <w:tcW w:type="dxa" w:w="1496"/>
          </w:tcPr>
          <w:p>
            <w:r>
              <w:rPr>
                <w:color w:val="1E232A"/>
                <w:sz w:val="14"/>
              </w:rPr>
              <w:t>0.0%</w:t>
            </w:r>
          </w:p>
        </w:tc>
        <w:tc>
          <w:tcPr>
            <w:tcW w:type="dxa" w:w="1496"/>
          </w:tcPr>
          <w:p>
            <w:r>
              <w:rPr>
                <w:color w:val="1E232A"/>
                <w:sz w:val="14"/>
              </w:rPr>
              <w:t>Rs. 1,740.00</w:t>
            </w:r>
          </w:p>
        </w:tc>
        <w:tc>
          <w:tcPr>
            <w:tcW w:type="dxa" w:w="1496"/>
          </w:tcPr>
          <w:p>
            <w:r>
              <w:rPr>
                <w:color w:val="1E232A"/>
                <w:sz w:val="14"/>
              </w:rPr>
              <w:t>84 / 100</w:t>
            </w:r>
          </w:p>
        </w:tc>
        <w:tc>
          <w:tcPr>
            <w:tcW w:type="dxa" w:w="1496"/>
          </w:tcPr>
          <w:p>
            <w:r>
              <w:rPr>
                <w:color w:val="1E232A"/>
                <w:sz w:val="14"/>
              </w:rPr>
              <w:t>HOLD / NEUTRAL</w:t>
            </w:r>
          </w:p>
        </w:tc>
      </w:tr>
      <w:tr>
        <w:tc>
          <w:tcPr>
            <w:tcW w:type="dxa" w:w="1496"/>
          </w:tcPr>
          <w:p>
            <w:r>
              <w:rPr>
                <w:b/>
                <w:color w:val="1E232A"/>
                <w:sz w:val="14"/>
              </w:rPr>
              <w:t>ADANIENT</w:t>
            </w:r>
          </w:p>
        </w:tc>
        <w:tc>
          <w:tcPr>
            <w:tcW w:type="dxa" w:w="1496"/>
          </w:tcPr>
          <w:p>
            <w:r>
              <w:rPr>
                <w:color w:val="1E232A"/>
                <w:sz w:val="14"/>
              </w:rPr>
              <w:t>Adani Enterprises Ltd</w:t>
            </w:r>
          </w:p>
        </w:tc>
        <w:tc>
          <w:tcPr>
            <w:tcW w:type="dxa" w:w="1496"/>
          </w:tcPr>
          <w:p>
            <w:r>
              <w:rPr>
                <w:color w:val="1E232A"/>
                <w:sz w:val="14"/>
              </w:rPr>
              <w:t>Conglomerate</w:t>
            </w:r>
          </w:p>
        </w:tc>
        <w:tc>
          <w:tcPr>
            <w:tcW w:type="dxa" w:w="1496"/>
          </w:tcPr>
          <w:p>
            <w:r>
              <w:rPr>
                <w:color w:val="1E232A"/>
                <w:sz w:val="14"/>
              </w:rPr>
              <w:t>0.0%</w:t>
            </w:r>
          </w:p>
        </w:tc>
        <w:tc>
          <w:tcPr>
            <w:tcW w:type="dxa" w:w="1496"/>
          </w:tcPr>
          <w:p>
            <w:r>
              <w:rPr>
                <w:color w:val="1E232A"/>
                <w:sz w:val="14"/>
              </w:rPr>
              <w:t>Rs. 2,820.00</w:t>
            </w:r>
          </w:p>
        </w:tc>
        <w:tc>
          <w:tcPr>
            <w:tcW w:type="dxa" w:w="1496"/>
          </w:tcPr>
          <w:p>
            <w:r>
              <w:rPr>
                <w:color w:val="1E232A"/>
                <w:sz w:val="14"/>
              </w:rPr>
              <w:t>64 / 100</w:t>
            </w:r>
          </w:p>
        </w:tc>
        <w:tc>
          <w:tcPr>
            <w:tcW w:type="dxa" w:w="1496"/>
          </w:tcPr>
          <w:p>
            <w:r>
              <w:rPr>
                <w:color w:val="1E232A"/>
                <w:sz w:val="14"/>
              </w:rPr>
              <w:t>UNDERWEIGHT</w:t>
            </w:r>
          </w:p>
        </w:tc>
      </w:tr>
      <w:tr>
        <w:tc>
          <w:tcPr>
            <w:tcW w:type="dxa" w:w="1496"/>
          </w:tcPr>
          <w:p>
            <w:r>
              <w:rPr>
                <w:b/>
                <w:color w:val="1E232A"/>
                <w:sz w:val="14"/>
              </w:rPr>
              <w:t>KOTAKBANK</w:t>
            </w:r>
          </w:p>
        </w:tc>
        <w:tc>
          <w:tcPr>
            <w:tcW w:type="dxa" w:w="1496"/>
          </w:tcPr>
          <w:p>
            <w:r>
              <w:rPr>
                <w:color w:val="1E232A"/>
                <w:sz w:val="14"/>
              </w:rPr>
              <w:t>Kotak Mahindra Bank</w:t>
            </w:r>
          </w:p>
        </w:tc>
        <w:tc>
          <w:tcPr>
            <w:tcW w:type="dxa" w:w="1496"/>
          </w:tcPr>
          <w:p>
            <w:r>
              <w:rPr>
                <w:color w:val="1E232A"/>
                <w:sz w:val="14"/>
              </w:rPr>
              <w:t>Banking</w:t>
            </w:r>
          </w:p>
        </w:tc>
        <w:tc>
          <w:tcPr>
            <w:tcW w:type="dxa" w:w="1496"/>
          </w:tcPr>
          <w:p>
            <w:r>
              <w:rPr>
                <w:color w:val="1E232A"/>
                <w:sz w:val="14"/>
              </w:rPr>
              <w:t>0.0%</w:t>
            </w:r>
          </w:p>
        </w:tc>
        <w:tc>
          <w:tcPr>
            <w:tcW w:type="dxa" w:w="1496"/>
          </w:tcPr>
          <w:p>
            <w:r>
              <w:rPr>
                <w:color w:val="1E232A"/>
                <w:sz w:val="14"/>
              </w:rPr>
              <w:t>Rs. 1,780.00</w:t>
            </w:r>
          </w:p>
        </w:tc>
        <w:tc>
          <w:tcPr>
            <w:tcW w:type="dxa" w:w="1496"/>
          </w:tcPr>
          <w:p>
            <w:r>
              <w:rPr>
                <w:color w:val="1E232A"/>
                <w:sz w:val="14"/>
              </w:rPr>
              <w:t>77 / 100</w:t>
            </w:r>
          </w:p>
        </w:tc>
        <w:tc>
          <w:tcPr>
            <w:tcW w:type="dxa" w:w="1496"/>
          </w:tcPr>
          <w:p>
            <w:r>
              <w:rPr>
                <w:color w:val="1E232A"/>
                <w:sz w:val="14"/>
              </w:rPr>
              <w:t>HOLD / NEUTRAL</w:t>
            </w:r>
          </w:p>
        </w:tc>
      </w:tr>
      <w:tr>
        <w:tc>
          <w:tcPr>
            <w:tcW w:type="dxa" w:w="1496"/>
          </w:tcPr>
          <w:p>
            <w:r>
              <w:rPr>
                <w:b/>
                <w:color w:val="1E232A"/>
                <w:sz w:val="14"/>
              </w:rPr>
              <w:t>TITAN</w:t>
            </w:r>
          </w:p>
        </w:tc>
        <w:tc>
          <w:tcPr>
            <w:tcW w:type="dxa" w:w="1496"/>
          </w:tcPr>
          <w:p>
            <w:r>
              <w:rPr>
                <w:color w:val="1E232A"/>
                <w:sz w:val="14"/>
              </w:rPr>
              <w:t>Titan Company Ltd</w:t>
            </w:r>
          </w:p>
        </w:tc>
        <w:tc>
          <w:tcPr>
            <w:tcW w:type="dxa" w:w="1496"/>
          </w:tcPr>
          <w:p>
            <w:r>
              <w:rPr>
                <w:color w:val="1E232A"/>
                <w:sz w:val="14"/>
              </w:rPr>
              <w:t>Consumer Goods</w:t>
            </w:r>
          </w:p>
        </w:tc>
        <w:tc>
          <w:tcPr>
            <w:tcW w:type="dxa" w:w="1496"/>
          </w:tcPr>
          <w:p>
            <w:r>
              <w:rPr>
                <w:color w:val="1E232A"/>
                <w:sz w:val="14"/>
              </w:rPr>
              <w:t>0.0%</w:t>
            </w:r>
          </w:p>
        </w:tc>
        <w:tc>
          <w:tcPr>
            <w:tcW w:type="dxa" w:w="1496"/>
          </w:tcPr>
          <w:p>
            <w:r>
              <w:rPr>
                <w:color w:val="1E232A"/>
                <w:sz w:val="14"/>
              </w:rPr>
              <w:t>Rs. 3,410.00</w:t>
            </w:r>
          </w:p>
        </w:tc>
        <w:tc>
          <w:tcPr>
            <w:tcW w:type="dxa" w:w="1496"/>
          </w:tcPr>
          <w:p>
            <w:r>
              <w:rPr>
                <w:color w:val="1E232A"/>
                <w:sz w:val="14"/>
              </w:rPr>
              <w:t>80 / 100</w:t>
            </w:r>
          </w:p>
        </w:tc>
        <w:tc>
          <w:tcPr>
            <w:tcW w:type="dxa" w:w="1496"/>
          </w:tcPr>
          <w:p>
            <w:r>
              <w:rPr>
                <w:color w:val="1E232A"/>
                <w:sz w:val="14"/>
              </w:rPr>
              <w:t>HOLD / NEUTRAL</w:t>
            </w:r>
          </w:p>
        </w:tc>
      </w:tr>
      <w:tr>
        <w:tc>
          <w:tcPr>
            <w:tcW w:type="dxa" w:w="1496"/>
          </w:tcPr>
          <w:p>
            <w:r>
              <w:rPr>
                <w:b/>
                <w:color w:val="1E232A"/>
                <w:sz w:val="14"/>
              </w:rPr>
              <w:t>ONGC</w:t>
            </w:r>
          </w:p>
        </w:tc>
        <w:tc>
          <w:tcPr>
            <w:tcW w:type="dxa" w:w="1496"/>
          </w:tcPr>
          <w:p>
            <w:r>
              <w:rPr>
                <w:color w:val="1E232A"/>
                <w:sz w:val="14"/>
              </w:rPr>
              <w:t>Oil &amp; Natural Gas Corp</w:t>
            </w:r>
          </w:p>
        </w:tc>
        <w:tc>
          <w:tcPr>
            <w:tcW w:type="dxa" w:w="1496"/>
          </w:tcPr>
          <w:p>
            <w:r>
              <w:rPr>
                <w:color w:val="1E232A"/>
                <w:sz w:val="14"/>
              </w:rPr>
              <w:t>Oil &amp; Gas</w:t>
            </w:r>
          </w:p>
        </w:tc>
        <w:tc>
          <w:tcPr>
            <w:tcW w:type="dxa" w:w="1496"/>
          </w:tcPr>
          <w:p>
            <w:r>
              <w:rPr>
                <w:color w:val="1E232A"/>
                <w:sz w:val="14"/>
              </w:rPr>
              <w:t>0.0%</w:t>
            </w:r>
          </w:p>
        </w:tc>
        <w:tc>
          <w:tcPr>
            <w:tcW w:type="dxa" w:w="1496"/>
          </w:tcPr>
          <w:p>
            <w:r>
              <w:rPr>
                <w:color w:val="1E232A"/>
                <w:sz w:val="14"/>
              </w:rPr>
              <w:t>Rs. 265.40</w:t>
            </w:r>
          </w:p>
        </w:tc>
        <w:tc>
          <w:tcPr>
            <w:tcW w:type="dxa" w:w="1496"/>
          </w:tcPr>
          <w:p>
            <w:r>
              <w:rPr>
                <w:color w:val="1E232A"/>
                <w:sz w:val="14"/>
              </w:rPr>
              <w:t>72 / 100</w:t>
            </w:r>
          </w:p>
        </w:tc>
        <w:tc>
          <w:tcPr>
            <w:tcW w:type="dxa" w:w="1496"/>
          </w:tcPr>
          <w:p>
            <w:r>
              <w:rPr>
                <w:color w:val="1E232A"/>
                <w:sz w:val="14"/>
              </w:rPr>
              <w:t>UNDERWEIGHT</w:t>
            </w:r>
          </w:p>
        </w:tc>
      </w:tr>
      <w:tr>
        <w:tc>
          <w:tcPr>
            <w:tcW w:type="dxa" w:w="1496"/>
          </w:tcPr>
          <w:p>
            <w:r>
              <w:rPr>
                <w:b/>
                <w:color w:val="1E232A"/>
                <w:sz w:val="14"/>
              </w:rPr>
              <w:t>TATAMOTORS</w:t>
            </w:r>
          </w:p>
        </w:tc>
        <w:tc>
          <w:tcPr>
            <w:tcW w:type="dxa" w:w="1496"/>
          </w:tcPr>
          <w:p>
            <w:r>
              <w:rPr>
                <w:color w:val="1E232A"/>
                <w:sz w:val="14"/>
              </w:rPr>
              <w:t>Tata Motors Ltd</w:t>
            </w:r>
          </w:p>
        </w:tc>
        <w:tc>
          <w:tcPr>
            <w:tcW w:type="dxa" w:w="1496"/>
          </w:tcPr>
          <w:p>
            <w:r>
              <w:rPr>
                <w:color w:val="1E232A"/>
                <w:sz w:val="14"/>
              </w:rPr>
              <w:t>Automotive</w:t>
            </w:r>
          </w:p>
        </w:tc>
        <w:tc>
          <w:tcPr>
            <w:tcW w:type="dxa" w:w="1496"/>
          </w:tcPr>
          <w:p>
            <w:r>
              <w:rPr>
                <w:color w:val="1E232A"/>
                <w:sz w:val="14"/>
              </w:rPr>
              <w:t>0.0%</w:t>
            </w:r>
          </w:p>
        </w:tc>
        <w:tc>
          <w:tcPr>
            <w:tcW w:type="dxa" w:w="1496"/>
          </w:tcPr>
          <w:p>
            <w:r>
              <w:rPr>
                <w:color w:val="1E232A"/>
                <w:sz w:val="14"/>
              </w:rPr>
              <w:t>Rs. 875.20</w:t>
            </w:r>
          </w:p>
        </w:tc>
        <w:tc>
          <w:tcPr>
            <w:tcW w:type="dxa" w:w="1496"/>
          </w:tcPr>
          <w:p>
            <w:r>
              <w:rPr>
                <w:color w:val="1E232A"/>
                <w:sz w:val="14"/>
              </w:rPr>
              <w:t>74 / 100</w:t>
            </w:r>
          </w:p>
        </w:tc>
        <w:tc>
          <w:tcPr>
            <w:tcW w:type="dxa" w:w="1496"/>
          </w:tcPr>
          <w:p>
            <w:r>
              <w:rPr>
                <w:color w:val="1E232A"/>
                <w:sz w:val="14"/>
              </w:rPr>
              <w:t>HOLD / NEUTRAL</w:t>
            </w:r>
          </w:p>
        </w:tc>
      </w:tr>
      <w:tr>
        <w:tc>
          <w:tcPr>
            <w:tcW w:type="dxa" w:w="1496"/>
          </w:tcPr>
          <w:p>
            <w:r>
              <w:rPr>
                <w:b/>
                <w:color w:val="1E232A"/>
                <w:sz w:val="14"/>
              </w:rPr>
              <w:t>NTPC</w:t>
            </w:r>
          </w:p>
        </w:tc>
        <w:tc>
          <w:tcPr>
            <w:tcW w:type="dxa" w:w="1496"/>
          </w:tcPr>
          <w:p>
            <w:r>
              <w:rPr>
                <w:color w:val="1E232A"/>
                <w:sz w:val="14"/>
              </w:rPr>
              <w:t>NTPC Ltd</w:t>
            </w:r>
          </w:p>
        </w:tc>
        <w:tc>
          <w:tcPr>
            <w:tcW w:type="dxa" w:w="1496"/>
          </w:tcPr>
          <w:p>
            <w:r>
              <w:rPr>
                <w:color w:val="1E232A"/>
                <w:sz w:val="14"/>
              </w:rPr>
              <w:t>Power &amp; Utilities</w:t>
            </w:r>
          </w:p>
        </w:tc>
        <w:tc>
          <w:tcPr>
            <w:tcW w:type="dxa" w:w="1496"/>
          </w:tcPr>
          <w:p>
            <w:r>
              <w:rPr>
                <w:color w:val="1E232A"/>
                <w:sz w:val="14"/>
              </w:rPr>
              <w:t>0.0%</w:t>
            </w:r>
          </w:p>
        </w:tc>
        <w:tc>
          <w:tcPr>
            <w:tcW w:type="dxa" w:w="1496"/>
          </w:tcPr>
          <w:p>
            <w:r>
              <w:rPr>
                <w:color w:val="1E232A"/>
                <w:sz w:val="14"/>
              </w:rPr>
              <w:t>Rs. 385.60</w:t>
            </w:r>
          </w:p>
        </w:tc>
        <w:tc>
          <w:tcPr>
            <w:tcW w:type="dxa" w:w="1496"/>
          </w:tcPr>
          <w:p>
            <w:r>
              <w:rPr>
                <w:color w:val="1E232A"/>
                <w:sz w:val="14"/>
              </w:rPr>
              <w:t>78 / 100</w:t>
            </w:r>
          </w:p>
        </w:tc>
        <w:tc>
          <w:tcPr>
            <w:tcW w:type="dxa" w:w="1496"/>
          </w:tcPr>
          <w:p>
            <w:r>
              <w:rPr>
                <w:color w:val="1E232A"/>
                <w:sz w:val="14"/>
              </w:rPr>
              <w:t>HOLD / NEUTRAL</w:t>
            </w:r>
          </w:p>
        </w:tc>
      </w:tr>
      <w:tr>
        <w:tc>
          <w:tcPr>
            <w:tcW w:type="dxa" w:w="1496"/>
          </w:tcPr>
          <w:p>
            <w:r>
              <w:rPr>
                <w:b/>
                <w:color w:val="1E232A"/>
                <w:sz w:val="14"/>
              </w:rPr>
              <w:t>AXISBANK</w:t>
            </w:r>
          </w:p>
        </w:tc>
        <w:tc>
          <w:tcPr>
            <w:tcW w:type="dxa" w:w="1496"/>
          </w:tcPr>
          <w:p>
            <w:r>
              <w:rPr>
                <w:color w:val="1E232A"/>
                <w:sz w:val="14"/>
              </w:rPr>
              <w:t>Axis Bank Ltd</w:t>
            </w:r>
          </w:p>
        </w:tc>
        <w:tc>
          <w:tcPr>
            <w:tcW w:type="dxa" w:w="1496"/>
          </w:tcPr>
          <w:p>
            <w:r>
              <w:rPr>
                <w:color w:val="1E232A"/>
                <w:sz w:val="14"/>
              </w:rPr>
              <w:t>Banking</w:t>
            </w:r>
          </w:p>
        </w:tc>
        <w:tc>
          <w:tcPr>
            <w:tcW w:type="dxa" w:w="1496"/>
          </w:tcPr>
          <w:p>
            <w:r>
              <w:rPr>
                <w:color w:val="1E232A"/>
                <w:sz w:val="14"/>
              </w:rPr>
              <w:t>0.0%</w:t>
            </w:r>
          </w:p>
        </w:tc>
        <w:tc>
          <w:tcPr>
            <w:tcW w:type="dxa" w:w="1496"/>
          </w:tcPr>
          <w:p>
            <w:r>
              <w:rPr>
                <w:color w:val="1E232A"/>
                <w:sz w:val="14"/>
              </w:rPr>
              <w:t>Rs. 1,145.00</w:t>
            </w:r>
          </w:p>
        </w:tc>
        <w:tc>
          <w:tcPr>
            <w:tcW w:type="dxa" w:w="1496"/>
          </w:tcPr>
          <w:p>
            <w:r>
              <w:rPr>
                <w:color w:val="1E232A"/>
                <w:sz w:val="14"/>
              </w:rPr>
              <w:t>76 / 100</w:t>
            </w:r>
          </w:p>
        </w:tc>
        <w:tc>
          <w:tcPr>
            <w:tcW w:type="dxa" w:w="1496"/>
          </w:tcPr>
          <w:p>
            <w:r>
              <w:rPr>
                <w:color w:val="1E232A"/>
                <w:sz w:val="14"/>
              </w:rPr>
              <w:t>HOLD / NEUTRAL</w:t>
            </w:r>
          </w:p>
        </w:tc>
      </w:tr>
      <w:tr>
        <w:tc>
          <w:tcPr>
            <w:tcW w:type="dxa" w:w="1496"/>
          </w:tcPr>
          <w:p>
            <w:r>
              <w:rPr>
                <w:b/>
                <w:color w:val="1E232A"/>
                <w:sz w:val="14"/>
              </w:rPr>
              <w:t>POWERGRID</w:t>
            </w:r>
          </w:p>
        </w:tc>
        <w:tc>
          <w:tcPr>
            <w:tcW w:type="dxa" w:w="1496"/>
          </w:tcPr>
          <w:p>
            <w:r>
              <w:rPr>
                <w:color w:val="1E232A"/>
                <w:sz w:val="14"/>
              </w:rPr>
              <w:t>Power Grid Corp</w:t>
            </w:r>
          </w:p>
        </w:tc>
        <w:tc>
          <w:tcPr>
            <w:tcW w:type="dxa" w:w="1496"/>
          </w:tcPr>
          <w:p>
            <w:r>
              <w:rPr>
                <w:color w:val="1E232A"/>
                <w:sz w:val="14"/>
              </w:rPr>
              <w:t>Utilities</w:t>
            </w:r>
          </w:p>
        </w:tc>
        <w:tc>
          <w:tcPr>
            <w:tcW w:type="dxa" w:w="1496"/>
          </w:tcPr>
          <w:p>
            <w:r>
              <w:rPr>
                <w:color w:val="1E232A"/>
                <w:sz w:val="14"/>
              </w:rPr>
              <w:t>0.0%</w:t>
            </w:r>
          </w:p>
        </w:tc>
        <w:tc>
          <w:tcPr>
            <w:tcW w:type="dxa" w:w="1496"/>
          </w:tcPr>
          <w:p>
            <w:r>
              <w:rPr>
                <w:color w:val="1E232A"/>
                <w:sz w:val="14"/>
              </w:rPr>
              <w:t>Rs. 312.00</w:t>
            </w:r>
          </w:p>
        </w:tc>
        <w:tc>
          <w:tcPr>
            <w:tcW w:type="dxa" w:w="1496"/>
          </w:tcPr>
          <w:p>
            <w:r>
              <w:rPr>
                <w:color w:val="1E232A"/>
                <w:sz w:val="14"/>
              </w:rPr>
              <w:t>79 / 100</w:t>
            </w:r>
          </w:p>
        </w:tc>
        <w:tc>
          <w:tcPr>
            <w:tcW w:type="dxa" w:w="1496"/>
          </w:tcPr>
          <w:p>
            <w:r>
              <w:rPr>
                <w:color w:val="1E232A"/>
                <w:sz w:val="14"/>
              </w:rPr>
              <w:t>HOLD / NEUTRAL</w:t>
            </w:r>
          </w:p>
        </w:tc>
      </w:tr>
      <w:tr>
        <w:tc>
          <w:tcPr>
            <w:tcW w:type="dxa" w:w="1496"/>
          </w:tcPr>
          <w:p>
            <w:r>
              <w:rPr>
                <w:b/>
                <w:color w:val="1E232A"/>
                <w:sz w:val="14"/>
              </w:rPr>
              <w:t>ASIANPAINT</w:t>
            </w:r>
          </w:p>
        </w:tc>
        <w:tc>
          <w:tcPr>
            <w:tcW w:type="dxa" w:w="1496"/>
          </w:tcPr>
          <w:p>
            <w:r>
              <w:rPr>
                <w:color w:val="1E232A"/>
                <w:sz w:val="14"/>
              </w:rPr>
              <w:t>Asian Paints Ltd</w:t>
            </w:r>
          </w:p>
        </w:tc>
        <w:tc>
          <w:tcPr>
            <w:tcW w:type="dxa" w:w="1496"/>
          </w:tcPr>
          <w:p>
            <w:r>
              <w:rPr>
                <w:color w:val="1E232A"/>
                <w:sz w:val="14"/>
              </w:rPr>
              <w:t>Consumer Goods</w:t>
            </w:r>
          </w:p>
        </w:tc>
        <w:tc>
          <w:tcPr>
            <w:tcW w:type="dxa" w:w="1496"/>
          </w:tcPr>
          <w:p>
            <w:r>
              <w:rPr>
                <w:color w:val="1E232A"/>
                <w:sz w:val="14"/>
              </w:rPr>
              <w:t>0.0%</w:t>
            </w:r>
          </w:p>
        </w:tc>
        <w:tc>
          <w:tcPr>
            <w:tcW w:type="dxa" w:w="1496"/>
          </w:tcPr>
          <w:p>
            <w:r>
              <w:rPr>
                <w:color w:val="1E232A"/>
                <w:sz w:val="14"/>
              </w:rPr>
              <w:t>Rs. 2,450.00</w:t>
            </w:r>
          </w:p>
        </w:tc>
        <w:tc>
          <w:tcPr>
            <w:tcW w:type="dxa" w:w="1496"/>
          </w:tcPr>
          <w:p>
            <w:r>
              <w:rPr>
                <w:color w:val="1E232A"/>
                <w:sz w:val="14"/>
              </w:rPr>
              <w:t>68 / 100</w:t>
            </w:r>
          </w:p>
        </w:tc>
        <w:tc>
          <w:tcPr>
            <w:tcW w:type="dxa" w:w="1496"/>
          </w:tcPr>
          <w:p>
            <w:r>
              <w:rPr>
                <w:color w:val="1E232A"/>
                <w:sz w:val="14"/>
              </w:rPr>
              <w:t>UNDERWEIGHT</w:t>
            </w:r>
          </w:p>
        </w:tc>
      </w:tr>
      <w:tr>
        <w:tc>
          <w:tcPr>
            <w:tcW w:type="dxa" w:w="1496"/>
          </w:tcPr>
          <w:p>
            <w:r>
              <w:rPr>
                <w:b/>
                <w:color w:val="1E232A"/>
                <w:sz w:val="14"/>
              </w:rPr>
              <w:t>WIPRO</w:t>
            </w:r>
          </w:p>
        </w:tc>
        <w:tc>
          <w:tcPr>
            <w:tcW w:type="dxa" w:w="1496"/>
          </w:tcPr>
          <w:p>
            <w:r>
              <w:rPr>
                <w:color w:val="1E232A"/>
                <w:sz w:val="14"/>
              </w:rPr>
              <w:t>Wipro Ltd</w:t>
            </w:r>
          </w:p>
        </w:tc>
        <w:tc>
          <w:tcPr>
            <w:tcW w:type="dxa" w:w="1496"/>
          </w:tcPr>
          <w:p>
            <w:r>
              <w:rPr>
                <w:color w:val="1E232A"/>
                <w:sz w:val="14"/>
              </w:rPr>
              <w:t>IT Services</w:t>
            </w:r>
          </w:p>
        </w:tc>
        <w:tc>
          <w:tcPr>
            <w:tcW w:type="dxa" w:w="1496"/>
          </w:tcPr>
          <w:p>
            <w:r>
              <w:rPr>
                <w:color w:val="1E232A"/>
                <w:sz w:val="14"/>
              </w:rPr>
              <w:t>0.0%</w:t>
            </w:r>
          </w:p>
        </w:tc>
        <w:tc>
          <w:tcPr>
            <w:tcW w:type="dxa" w:w="1496"/>
          </w:tcPr>
          <w:p>
            <w:r>
              <w:rPr>
                <w:color w:val="1E232A"/>
                <w:sz w:val="14"/>
              </w:rPr>
              <w:t>Rs. 535.40</w:t>
            </w:r>
          </w:p>
        </w:tc>
        <w:tc>
          <w:tcPr>
            <w:tcW w:type="dxa" w:w="1496"/>
          </w:tcPr>
          <w:p>
            <w:r>
              <w:rPr>
                <w:color w:val="1E232A"/>
                <w:sz w:val="14"/>
              </w:rPr>
              <w:t>71 / 100</w:t>
            </w:r>
          </w:p>
        </w:tc>
        <w:tc>
          <w:tcPr>
            <w:tcW w:type="dxa" w:w="1496"/>
          </w:tcPr>
          <w:p>
            <w:r>
              <w:rPr>
                <w:color w:val="1E232A"/>
                <w:sz w:val="14"/>
              </w:rPr>
              <w:t>UNDERWEIGHT</w:t>
            </w:r>
          </w:p>
        </w:tc>
      </w:tr>
    </w:tbl>
    <w:sectPr w:rsidR="00FC693F" w:rsidRPr="0006063C" w:rsidSect="00034616">
      <w:headerReference w:type="default" r:id="rId9"/>
      <w:footerReference w:type="default" r:id="rId10"/>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505A69"/>
        <w:sz w:val="16"/>
      </w:rPr>
      <w:t>Amrita Vishwa Vidyapeetham, Coimbatore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05A69"/>
        <w:sz w:val="16"/>
      </w:rPr>
      <w:t>SparsioQ: End-Semester Project Report  |  24MAT204 - Mathematics for Intelligent Systems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