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F172A"/>
          <w:sz w:val="36"/>
        </w:rPr>
        <w:t>SPARSIOQ: AN ALGORITHMIC QUANTITATIVE WEALTH &amp; PORTFOLIO OPTIMIZATION PLATFORM</w:t>
      </w:r>
    </w:p>
    <w:p>
      <w:pPr>
        <w:spacing w:before="0" w:after="120"/>
        <w:jc w:val="center"/>
      </w:pPr>
      <w:r>
        <w:rPr>
          <w:rFonts w:ascii="Times New Roman" w:hAnsi="Times New Roman"/>
          <w:i/>
          <w:color w:val="475569"/>
          <w:sz w:val="24"/>
        </w:rPr>
        <w:t>Mid-Semester Progress Report — Group 11</w:t>
      </w:r>
    </w:p>
    <w:p>
      <w:pPr>
        <w:spacing w:before="0" w:after="40"/>
        <w:jc w:val="center"/>
      </w:pPr>
      <w:r>
        <w:rPr>
          <w:rFonts w:ascii="Times New Roman" w:hAnsi="Times New Roman"/>
          <w:b/>
          <w:color w:val="1E293B"/>
          <w:sz w:val="20"/>
        </w:rPr>
        <w:t>Mhalsa Padmakumar (CB.AI.U4AIM25052), Shiza CKV (CB.AI.U4AIM25037),</w:t>
        <w:br/>
        <w:t>Anwaika Sanvi (CB.AI.U4AIM25044), Joshika (CB.AI.U4AIM25014)</w:t>
      </w:r>
    </w:p>
    <w:p>
      <w:pPr>
        <w:spacing w:before="0" w:after="240"/>
        <w:jc w:val="center"/>
      </w:pPr>
      <w:r>
        <w:rPr>
          <w:rFonts w:ascii="Times New Roman" w:hAnsi="Times New Roman"/>
          <w:i/>
          <w:color w:val="64748B"/>
          <w:sz w:val="19"/>
        </w:rPr>
        <w:t>Department of Artificial Intelligence | Course: Mathematics for Intelligent Systems 3 (24MAT204)</w:t>
      </w:r>
    </w:p>
    <w:p>
      <w:pPr>
        <w:spacing w:before="0" w:after="100" w:line="276" w:lineRule="auto"/>
        <w:jc w:val="both"/>
      </w:pPr>
      <w:r>
        <w:rPr>
          <w:rFonts w:ascii="Times New Roman" w:hAnsi="Times New Roman"/>
          <w:b/>
          <w:sz w:val="20"/>
        </w:rPr>
        <w:t xml:space="preserve">Abstract — </w:t>
      </w:r>
      <w:r>
        <w:rPr>
          <w:rFonts w:ascii="Times New Roman" w:hAnsi="Times New Roman"/>
          <w:sz w:val="20"/>
        </w:rPr>
        <w:t>Retail participation in Indian equity markets has reached record highs, yet millions of everyday individual investors experience severe wealth erosion due to market non-stationarity, unmanaged systemic drawdowns, high transaction fee drag, and price impact slippage. While institutional quantitative hedge funds employ advanced mathematical models to optimize risk-adjusted returns and slice order execution, retail trading platforms remain passive order-entry systems offering zero algorithmic guidance. This report documents the mid-semester progress achieved on SparsioQ, an end-to-end quantitative wealth and portfolio optimization platform designed to democratize institutional mathematical tools for retail investors with capital as low as ₹100. As of this milestone, the team has successfully engineered and integrated seven modular quantitative engines: (i) a Gaussian Hidden Markov Model (HMM) for real-time market regime classification, (ii) a 3D Tensor Higher-Order Singular Value Decomposition (HoSVD / Tucker Decomposition) risk factor engine to isolate cross-asset structural contagion, (iii) an L1-regularized CVXOPT portfolio optimizer with ESG sustainability constraints, (iv) a friction-aware Lagrangian cost rebalancer, (v) a Markov Decision Process (MDP) Q-learning trade order slicer, (vi) an automated tax-loss harvester, and (vii) a Qiskit-powered Quantum Option Pricer using Quantum Amplitude Estimation (QAE). The complete system is deployed as an interactive Streamlit application offering a ₹100 Micro-Investment Wizard. This report outlines the dataset, mathematical formulations, system architecture, empirical benchmark results, interactive UI implementation, and the accelerated project execution roadmap toward final end-semester defense.</w:t>
      </w:r>
    </w:p>
    <w:p>
      <w:pPr>
        <w:spacing w:before="0" w:after="100" w:line="276" w:lineRule="auto"/>
        <w:jc w:val="both"/>
      </w:pPr>
      <w:r>
        <w:rPr>
          <w:rFonts w:ascii="Times New Roman" w:hAnsi="Times New Roman"/>
          <w:b/>
          <w:sz w:val="20"/>
        </w:rPr>
        <w:t xml:space="preserve">Keywords — </w:t>
      </w:r>
      <w:r>
        <w:rPr>
          <w:rFonts w:ascii="Times New Roman" w:hAnsi="Times New Roman"/>
          <w:sz w:val="20"/>
        </w:rPr>
        <w:t>quantitative portfolio optimization, Gaussian HMM market regimes, 3D tensor HoSVD, L1 sparse CVXOPT, MDP Q-learning trade slicing, quantum option pricing, micro-investing, Streamlit dashboard</w:t>
      </w:r>
    </w:p>
    <w:p>
      <w:pPr>
        <w:keepNext/>
        <w:spacing w:before="280" w:after="80"/>
      </w:pPr>
      <w:r>
        <w:rPr>
          <w:rFonts w:ascii="Times New Roman" w:hAnsi="Times New Roman"/>
          <w:b/>
          <w:color w:val="0F172A"/>
          <w:sz w:val="22"/>
        </w:rPr>
        <w:t>I. INTRODUCTION</w:t>
      </w:r>
    </w:p>
    <w:p>
      <w:pPr>
        <w:spacing w:before="0" w:after="100" w:line="276" w:lineRule="auto"/>
        <w:jc w:val="both"/>
      </w:pPr>
      <w:r>
        <w:rPr>
          <w:rFonts w:ascii="Times New Roman" w:hAnsi="Times New Roman"/>
          <w:sz w:val="20"/>
        </w:rPr>
        <w:t>Equity portfolio management and wealth preservation require continuous, dynamic adaptation to systemic risk, volatile market state transitions, and execution frictions. In emerging markets such as India, retail investors face significant structural barriers: individual portfolios are frequently under-diversified or over-diversified into noisy assets, leading to excessive brokerage fees that consume up to 10% of small capital allocations. Furthermore, traditional 2D pairwise correlation matrices fail to capture multi-dimensional risk spillovers across asset classes, temporal horizons, and macroeconomic factors. SparsioQ addresses these challenges by uniting high-dimensional tensor mathematics, state-space probability models, sparse convex optimization, reinforcement learning trade execution, and quantum computing into a unified, friction-aware retail wealth platform.</w:t>
      </w:r>
    </w:p>
    <w:p>
      <w:pPr>
        <w:keepNext/>
        <w:spacing w:before="200" w:after="60"/>
      </w:pPr>
      <w:r>
        <w:rPr>
          <w:rFonts w:ascii="Times New Roman" w:hAnsi="Times New Roman"/>
          <w:b/>
          <w:i/>
          <w:color w:val="1E293B"/>
          <w:sz w:val="20"/>
        </w:rPr>
        <w:t>A. Research Objectives</w:t>
      </w:r>
    </w:p>
    <w:p>
      <w:pPr>
        <w:pStyle w:val="ListParagraph"/>
        <w:spacing w:before="0" w:after="60" w:line="276" w:lineRule="auto"/>
        <w:jc w:val="both"/>
      </w:pPr>
      <w:r>
        <w:rPr>
          <w:rFonts w:ascii="Times New Roman" w:hAnsi="Times New Roman"/>
          <w:b/>
          <w:sz w:val="20"/>
        </w:rPr>
        <w:t xml:space="preserve">• Detect Market Regimes: </w:t>
      </w:r>
      <w:r>
        <w:rPr>
          <w:rFonts w:ascii="Times New Roman" w:hAnsi="Times New Roman"/>
          <w:sz w:val="20"/>
        </w:rPr>
        <w:t>Build a 3-state Gaussian Hidden Markov Model (HMM) on daily market returns to classify Bull, Bear, and Volatile market regimes in real-time.</w:t>
      </w:r>
    </w:p>
    <w:p>
      <w:pPr>
        <w:pStyle w:val="ListParagraph"/>
        <w:spacing w:before="0" w:after="60" w:line="276" w:lineRule="auto"/>
        <w:jc w:val="both"/>
      </w:pPr>
      <w:r>
        <w:rPr>
          <w:rFonts w:ascii="Times New Roman" w:hAnsi="Times New Roman"/>
          <w:b/>
          <w:sz w:val="20"/>
        </w:rPr>
        <w:t xml:space="preserve">• Isolate Structural Risk: </w:t>
      </w:r>
      <w:r>
        <w:rPr>
          <w:rFonts w:ascii="Times New Roman" w:hAnsi="Times New Roman"/>
          <w:sz w:val="20"/>
        </w:rPr>
        <w:t>Decompose 3D asset risk tensors X in R^(N x M x T) via Higher-Order SVD (Tucker Decomposition) to isolate hidden cross-asset structural risk links.</w:t>
      </w:r>
    </w:p>
    <w:p>
      <w:pPr>
        <w:pStyle w:val="ListParagraph"/>
        <w:spacing w:before="0" w:after="60" w:line="276" w:lineRule="auto"/>
        <w:jc w:val="both"/>
      </w:pPr>
      <w:r>
        <w:rPr>
          <w:rFonts w:ascii="Times New Roman" w:hAnsi="Times New Roman"/>
          <w:b/>
          <w:sz w:val="20"/>
        </w:rPr>
        <w:t xml:space="preserve">• Optimize Sparse Holdings: </w:t>
      </w:r>
      <w:r>
        <w:rPr>
          <w:rFonts w:ascii="Times New Roman" w:hAnsi="Times New Roman"/>
          <w:sz w:val="20"/>
        </w:rPr>
        <w:t>Formulate an L1-regularized quadratic program solved via CVXOPT with KKT conditions and ESG filters to extract sparse 3–5 stock portfolios.</w:t>
      </w:r>
    </w:p>
    <w:p>
      <w:pPr>
        <w:pStyle w:val="ListParagraph"/>
        <w:spacing w:before="0" w:after="60" w:line="276" w:lineRule="auto"/>
        <w:jc w:val="both"/>
      </w:pPr>
      <w:r>
        <w:rPr>
          <w:rFonts w:ascii="Times New Roman" w:hAnsi="Times New Roman"/>
          <w:b/>
          <w:sz w:val="20"/>
        </w:rPr>
        <w:t xml:space="preserve">• Minimize Fees &amp; Slippage: </w:t>
      </w:r>
      <w:r>
        <w:rPr>
          <w:rFonts w:ascii="Times New Roman" w:hAnsi="Times New Roman"/>
          <w:sz w:val="20"/>
        </w:rPr>
        <w:t>Implement Lagrangian cost-thresholding rebalancing and a tabular MDP Q-learning agent to slice trade orders smoothly and beat VWAP benchmarks.</w:t>
      </w:r>
    </w:p>
    <w:p>
      <w:pPr>
        <w:pStyle w:val="ListParagraph"/>
        <w:spacing w:before="0" w:after="60" w:line="276" w:lineRule="auto"/>
        <w:jc w:val="both"/>
      </w:pPr>
      <w:r>
        <w:rPr>
          <w:rFonts w:ascii="Times New Roman" w:hAnsi="Times New Roman"/>
          <w:b/>
          <w:sz w:val="20"/>
        </w:rPr>
        <w:t xml:space="preserve">• Democratize Wealth: </w:t>
      </w:r>
      <w:r>
        <w:rPr>
          <w:rFonts w:ascii="Times New Roman" w:hAnsi="Times New Roman"/>
          <w:sz w:val="20"/>
        </w:rPr>
        <w:t>Deploy an interactive Streamlit Web UI featuring a ₹100 Micro-Investment Wizard and a Qiskit Quantum Option Derivatives Engine for retail adoption.</w:t>
      </w:r>
    </w:p>
    <w:p>
      <w:pPr>
        <w:keepNext/>
        <w:spacing w:before="280" w:after="80"/>
      </w:pPr>
      <w:r>
        <w:rPr>
          <w:rFonts w:ascii="Times New Roman" w:hAnsi="Times New Roman"/>
          <w:b/>
          <w:color w:val="0F172A"/>
          <w:sz w:val="22"/>
        </w:rPr>
        <w:t>II. LITERATURE REVIEW</w:t>
      </w:r>
    </w:p>
    <w:p>
      <w:pPr>
        <w:spacing w:before="0" w:after="100" w:line="276" w:lineRule="auto"/>
        <w:jc w:val="both"/>
      </w:pPr>
      <w:r>
        <w:rPr>
          <w:rFonts w:ascii="Times New Roman" w:hAnsi="Times New Roman"/>
          <w:sz w:val="20"/>
        </w:rPr>
        <w:t>The mathematical foundations of SparsioQ build upon seminal literature across sparse regularization, dynamic portfolio rebalancing, tensor factor analysis, deep reinforcement learning order execution, and quantum financial engineering.</w:t>
      </w:r>
    </w:p>
    <w:p>
      <w:pPr>
        <w:pStyle w:val="ListParagraph"/>
        <w:spacing w:before="0" w:after="60" w:line="276" w:lineRule="auto"/>
        <w:jc w:val="both"/>
      </w:pPr>
      <w:r>
        <w:rPr>
          <w:rFonts w:ascii="Times New Roman" w:hAnsi="Times New Roman"/>
          <w:b/>
          <w:sz w:val="20"/>
        </w:rPr>
        <w:t xml:space="preserve">• Sparse &amp; ESG Optimization: </w:t>
      </w:r>
      <w:r>
        <w:rPr>
          <w:rFonts w:ascii="Times New Roman" w:hAnsi="Times New Roman"/>
          <w:sz w:val="20"/>
        </w:rPr>
        <w:t>Wu et al. (2023) developed fractional L1/L2 regularization models for sparse portfolio selection, demonstrating that enforcing cardinality constraints significantly cuts transaction fee erosion without compromising Sharpe efficiency.</w:t>
      </w:r>
    </w:p>
    <w:p>
      <w:pPr>
        <w:pStyle w:val="ListParagraph"/>
        <w:spacing w:before="0" w:after="60" w:line="276" w:lineRule="auto"/>
        <w:jc w:val="both"/>
      </w:pPr>
      <w:r>
        <w:rPr>
          <w:rFonts w:ascii="Times New Roman" w:hAnsi="Times New Roman"/>
          <w:b/>
          <w:sz w:val="20"/>
        </w:rPr>
        <w:t xml:space="preserve">• Multi-Period Rebalancing: </w:t>
      </w:r>
      <w:r>
        <w:rPr>
          <w:rFonts w:ascii="Times New Roman" w:hAnsi="Times New Roman"/>
          <w:sz w:val="20"/>
        </w:rPr>
        <w:t>Lezmi et al. (2022) formulated multi-period mean-variance optimization with dynamic turnover penalties and climate-aligned ESG scores, proving that friction-aware rebalancing prevents excessive portfolio turnover.</w:t>
      </w:r>
    </w:p>
    <w:p>
      <w:pPr>
        <w:pStyle w:val="ListParagraph"/>
        <w:spacing w:before="0" w:after="60" w:line="276" w:lineRule="auto"/>
        <w:jc w:val="both"/>
      </w:pPr>
      <w:r>
        <w:rPr>
          <w:rFonts w:ascii="Times New Roman" w:hAnsi="Times New Roman"/>
          <w:b/>
          <w:sz w:val="20"/>
        </w:rPr>
        <w:t xml:space="preserve">• Market Regimes &amp; Risk Tensors: </w:t>
      </w:r>
      <w:r>
        <w:rPr>
          <w:rFonts w:ascii="Times New Roman" w:hAnsi="Times New Roman"/>
          <w:sz w:val="20"/>
        </w:rPr>
        <w:t>Zheng et al. (2021) and Zhou et al. (2025) applied multivariate regime-switching models (SC-HMMs) and dynamic tensor unfoldings to detect change-points in financial networks, isolating systemic risk contagion.</w:t>
      </w:r>
    </w:p>
    <w:p>
      <w:pPr>
        <w:pStyle w:val="ListParagraph"/>
        <w:spacing w:before="0" w:after="60" w:line="276" w:lineRule="auto"/>
        <w:jc w:val="both"/>
      </w:pPr>
      <w:r>
        <w:rPr>
          <w:rFonts w:ascii="Times New Roman" w:hAnsi="Times New Roman"/>
          <w:b/>
          <w:sz w:val="20"/>
        </w:rPr>
        <w:t xml:space="preserve">• DRL &amp; Trade Order Execution: </w:t>
      </w:r>
      <w:r>
        <w:rPr>
          <w:rFonts w:ascii="Times New Roman" w:hAnsi="Times New Roman"/>
          <w:sz w:val="20"/>
        </w:rPr>
        <w:t>Byun et al. (2023) and Ndikum et al. (2024) deployed Deep Reinforcement Learning (PPO) and Q-learning on market order books to slice large institutional trades, systematically beating VWAP/TWAP slippage benchmarks.</w:t>
      </w:r>
    </w:p>
    <w:p>
      <w:pPr>
        <w:pStyle w:val="ListParagraph"/>
        <w:spacing w:before="0" w:after="60" w:line="276" w:lineRule="auto"/>
        <w:jc w:val="both"/>
      </w:pPr>
      <w:r>
        <w:rPr>
          <w:rFonts w:ascii="Times New Roman" w:hAnsi="Times New Roman"/>
          <w:b/>
          <w:sz w:val="20"/>
        </w:rPr>
        <w:t xml:space="preserve">• Quantum Option Derivative Pricing: </w:t>
      </w:r>
      <w:r>
        <w:rPr>
          <w:rFonts w:ascii="Times New Roman" w:hAnsi="Times New Roman"/>
          <w:sz w:val="20"/>
        </w:rPr>
        <w:t>Stamatopoulos et al. (2020), Alcazar et al. (2022), and Ganguly (2021) proved that Quantum Amplitude Estimation (QAE) on NISQ quantum circuits achieves a quadratic speedup O(1/ε) over classical Monte Carlo pricing O(1/ε²) for financial derivatives.</w:t>
      </w:r>
    </w:p>
    <w:p>
      <w:pPr>
        <w:keepNext/>
        <w:spacing w:before="280" w:after="80"/>
      </w:pPr>
      <w:r>
        <w:rPr>
          <w:rFonts w:ascii="Times New Roman" w:hAnsi="Times New Roman"/>
          <w:b/>
          <w:color w:val="0F172A"/>
          <w:sz w:val="22"/>
        </w:rPr>
        <w:t>III. PROBLEM STATEMENT</w:t>
      </w:r>
    </w:p>
    <w:p>
      <w:pPr>
        <w:spacing w:before="0" w:after="100" w:line="276" w:lineRule="auto"/>
        <w:jc w:val="both"/>
      </w:pPr>
      <w:r>
        <w:rPr>
          <w:rFonts w:ascii="Times New Roman" w:hAnsi="Times New Roman"/>
          <w:sz w:val="20"/>
        </w:rPr>
        <w:t>Retail portfolio management is constrained by four fundamental mathematical and operational market friction challenges:</w:t>
      </w:r>
    </w:p>
    <w:p>
      <w:pPr>
        <w:pStyle w:val="ListParagraph"/>
        <w:spacing w:before="0" w:after="60" w:line="276" w:lineRule="auto"/>
        <w:jc w:val="both"/>
      </w:pPr>
      <w:r>
        <w:rPr>
          <w:rFonts w:ascii="Times New Roman" w:hAnsi="Times New Roman"/>
          <w:b/>
          <w:sz w:val="20"/>
        </w:rPr>
        <w:t xml:space="preserve">1. Market Non-Stationarity: </w:t>
      </w:r>
      <w:r>
        <w:rPr>
          <w:rFonts w:ascii="Times New Roman" w:hAnsi="Times New Roman"/>
          <w:sz w:val="20"/>
        </w:rPr>
        <w:t>Static allocation models crash during abrupt macroeconomic state transitions due to parameter non-stationarity.</w:t>
      </w:r>
    </w:p>
    <w:p>
      <w:pPr>
        <w:pStyle w:val="ListParagraph"/>
        <w:spacing w:before="0" w:after="60" w:line="276" w:lineRule="auto"/>
        <w:jc w:val="both"/>
      </w:pPr>
      <w:r>
        <w:rPr>
          <w:rFonts w:ascii="Times New Roman" w:hAnsi="Times New Roman"/>
          <w:b/>
          <w:sz w:val="20"/>
        </w:rPr>
        <w:t xml:space="preserve">2. High-Dimensional Risk Blindness: </w:t>
      </w:r>
      <w:r>
        <w:rPr>
          <w:rFonts w:ascii="Times New Roman" w:hAnsi="Times New Roman"/>
          <w:sz w:val="20"/>
        </w:rPr>
        <w:t>Standard 2D pairwise covariance matrices miss multi-factor spatial, spectral, and temporal risk linkages across asset universes.</w:t>
      </w:r>
    </w:p>
    <w:p>
      <w:pPr>
        <w:pStyle w:val="ListParagraph"/>
        <w:spacing w:before="0" w:after="60" w:line="276" w:lineRule="auto"/>
        <w:jc w:val="both"/>
      </w:pPr>
      <w:r>
        <w:rPr>
          <w:rFonts w:ascii="Times New Roman" w:hAnsi="Times New Roman"/>
          <w:b/>
          <w:sz w:val="20"/>
        </w:rPr>
        <w:t xml:space="preserve">3. Transaction Fee Erosion: </w:t>
      </w:r>
      <w:r>
        <w:rPr>
          <w:rFonts w:ascii="Times New Roman" w:hAnsi="Times New Roman"/>
          <w:sz w:val="20"/>
        </w:rPr>
        <w:t>Unconstrained Markowitz optimization spreads small capital across 15+ assets, incurring fixed brokerage fees that drain retail returns.</w:t>
      </w:r>
    </w:p>
    <w:p>
      <w:pPr>
        <w:pStyle w:val="ListParagraph"/>
        <w:spacing w:before="0" w:after="60" w:line="276" w:lineRule="auto"/>
        <w:jc w:val="both"/>
      </w:pPr>
      <w:r>
        <w:rPr>
          <w:rFonts w:ascii="Times New Roman" w:hAnsi="Times New Roman"/>
          <w:b/>
          <w:sz w:val="20"/>
        </w:rPr>
        <w:t xml:space="preserve">4. Order Execution Slippage: </w:t>
      </w:r>
      <w:r>
        <w:rPr>
          <w:rFonts w:ascii="Times New Roman" w:hAnsi="Times New Roman"/>
          <w:sz w:val="20"/>
        </w:rPr>
        <w:t>Un-sliced market orders incur severe bid-ask spread penalties and market impact slippage during rebalancing.</w:t>
      </w:r>
    </w:p>
    <w:p>
      <w:pPr>
        <w:keepNext/>
        <w:spacing w:before="280" w:after="80"/>
      </w:pPr>
      <w:r>
        <w:rPr>
          <w:rFonts w:ascii="Times New Roman" w:hAnsi="Times New Roman"/>
          <w:b/>
          <w:color w:val="0F172A"/>
          <w:sz w:val="22"/>
        </w:rPr>
        <w:t>IV. RESEARCH GAPS</w:t>
      </w:r>
    </w:p>
    <w:p>
      <w:pPr>
        <w:pStyle w:val="ListParagraph"/>
        <w:spacing w:before="0" w:after="60" w:line="276" w:lineRule="auto"/>
        <w:jc w:val="both"/>
      </w:pPr>
      <w:r>
        <w:rPr>
          <w:rFonts w:ascii="Times New Roman" w:hAnsi="Times New Roman"/>
          <w:b/>
          <w:sz w:val="20"/>
        </w:rPr>
        <w:t xml:space="preserve">• Sim-to-Real Reality Gap in Retail Tools: </w:t>
      </w:r>
      <w:r>
        <w:rPr>
          <w:rFonts w:ascii="Times New Roman" w:hAnsi="Times New Roman"/>
          <w:sz w:val="20"/>
        </w:rPr>
        <w:t>Existing DRL and quantitative portfolio models cater exclusively to institutional funds with millions in capital, ignoring ₹100–₹1,000 retail fee barriers.</w:t>
      </w:r>
    </w:p>
    <w:p>
      <w:pPr>
        <w:pStyle w:val="ListParagraph"/>
        <w:spacing w:before="0" w:after="60" w:line="276" w:lineRule="auto"/>
        <w:jc w:val="both"/>
      </w:pPr>
      <w:r>
        <w:rPr>
          <w:rFonts w:ascii="Times New Roman" w:hAnsi="Times New Roman"/>
          <w:b/>
          <w:sz w:val="20"/>
        </w:rPr>
        <w:t xml:space="preserve">• Ignored Transaction Frictions: </w:t>
      </w:r>
      <w:r>
        <w:rPr>
          <w:rFonts w:ascii="Times New Roman" w:hAnsi="Times New Roman"/>
          <w:sz w:val="20"/>
        </w:rPr>
        <w:t>Standard Markowitz models assume zero transaction friction, resulting in excessive rebalancing turnover that destroys net yield.</w:t>
      </w:r>
    </w:p>
    <w:p>
      <w:pPr>
        <w:pStyle w:val="ListParagraph"/>
        <w:spacing w:before="0" w:after="60" w:line="276" w:lineRule="auto"/>
        <w:jc w:val="both"/>
      </w:pPr>
      <w:r>
        <w:rPr>
          <w:rFonts w:ascii="Times New Roman" w:hAnsi="Times New Roman"/>
          <w:b/>
          <w:sz w:val="20"/>
        </w:rPr>
        <w:t xml:space="preserve">• Flat Pairwise Risk Limits: </w:t>
      </w:r>
      <w:r>
        <w:rPr>
          <w:rFonts w:ascii="Times New Roman" w:hAnsi="Times New Roman"/>
          <w:sz w:val="20"/>
        </w:rPr>
        <w:t>Conventional risk management relies on pairwise 2D risk limits, failing to resolve multi-dimensional (3D) spatial-temporal factor interactions.</w:t>
      </w:r>
    </w:p>
    <w:p>
      <w:pPr>
        <w:pStyle w:val="ListParagraph"/>
        <w:spacing w:before="0" w:after="60" w:line="276" w:lineRule="auto"/>
        <w:jc w:val="both"/>
      </w:pPr>
      <w:r>
        <w:rPr>
          <w:rFonts w:ascii="Times New Roman" w:hAnsi="Times New Roman"/>
          <w:b/>
          <w:sz w:val="20"/>
        </w:rPr>
        <w:t xml:space="preserve">• Quantum Circuit Isolation: </w:t>
      </w:r>
      <w:r>
        <w:rPr>
          <w:rFonts w:ascii="Times New Roman" w:hAnsi="Times New Roman"/>
          <w:sz w:val="20"/>
        </w:rPr>
        <w:t>Quantum option pricing algorithms exist solely as isolated theoretical circuits without integration into classical quantitative macro engines.</w:t>
      </w:r>
    </w:p>
    <w:p>
      <w:pPr>
        <w:keepNext/>
        <w:spacing w:before="280" w:after="80"/>
      </w:pPr>
      <w:r>
        <w:rPr>
          <w:rFonts w:ascii="Times New Roman" w:hAnsi="Times New Roman"/>
          <w:b/>
          <w:color w:val="0F172A"/>
          <w:sz w:val="22"/>
        </w:rPr>
        <w:t>V. METHODOLOGY &amp; SYSTEM ARCHITECTURE</w:t>
      </w:r>
    </w:p>
    <w:p>
      <w:pPr>
        <w:spacing w:before="0" w:after="100" w:line="276" w:lineRule="auto"/>
        <w:jc w:val="both"/>
      </w:pPr>
      <w:r>
        <w:rPr>
          <w:rFonts w:ascii="Times New Roman" w:hAnsi="Times New Roman"/>
          <w:sz w:val="20"/>
        </w:rPr>
        <w:t>SparsioQ is structured as a modular 7-engine pipeline combining mathematical rigor with low-latency software execution.</w:t>
      </w:r>
    </w:p>
    <w:p>
      <w:pPr>
        <w:spacing w:before="160" w:after="40"/>
        <w:jc w:val="center"/>
      </w:pPr>
      <w:r>
        <w:drawing>
          <wp:inline xmlns:a="http://schemas.openxmlformats.org/drawingml/2006/main" xmlns:pic="http://schemas.openxmlformats.org/drawingml/2006/picture">
            <wp:extent cx="5943600" cy="3319994"/>
            <wp:docPr id="1" name="Picture 1"/>
            <wp:cNvGraphicFramePr>
              <a:graphicFrameLocks noChangeAspect="1"/>
            </wp:cNvGraphicFramePr>
            <a:graphic>
              <a:graphicData uri="http://schemas.openxmlformats.org/drawingml/2006/picture">
                <pic:pic>
                  <pic:nvPicPr>
                    <pic:cNvPr id="0" name="extracted_fig1.png"/>
                    <pic:cNvPicPr/>
                  </pic:nvPicPr>
                  <pic:blipFill>
                    <a:blip r:embed="rId10"/>
                    <a:stretch>
                      <a:fillRect/>
                    </a:stretch>
                  </pic:blipFill>
                  <pic:spPr>
                    <a:xfrm>
                      <a:off x="0" y="0"/>
                      <a:ext cx="5943600" cy="3319994"/>
                    </a:xfrm>
                    <a:prstGeom prst="rect"/>
                  </pic:spPr>
                </pic:pic>
              </a:graphicData>
            </a:graphic>
          </wp:inline>
        </w:drawing>
      </w:r>
    </w:p>
    <w:p>
      <w:pPr>
        <w:keepNext/>
        <w:spacing w:before="40" w:after="200"/>
        <w:jc w:val="center"/>
      </w:pPr>
      <w:r>
        <w:rPr>
          <w:rFonts w:ascii="Times New Roman" w:hAnsi="Times New Roman"/>
          <w:i/>
          <w:color w:val="334155"/>
          <w:sz w:val="18"/>
        </w:rPr>
        <w:t>Figure 1: High-Level System Architecture and 7-Module Engine Pipeline of SparsioQ.</w:t>
      </w:r>
    </w:p>
    <w:p>
      <w:pPr>
        <w:spacing w:before="160" w:after="40"/>
        <w:jc w:val="center"/>
      </w:pPr>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extracted_fig2.png"/>
                    <pic:cNvPicPr/>
                  </pic:nvPicPr>
                  <pic:blipFill>
                    <a:blip r:embed="rId11"/>
                    <a:stretch>
                      <a:fillRect/>
                    </a:stretch>
                  </pic:blipFill>
                  <pic:spPr>
                    <a:xfrm>
                      <a:off x="0" y="0"/>
                      <a:ext cx="5943600" cy="3317358"/>
                    </a:xfrm>
                    <a:prstGeom prst="rect"/>
                  </pic:spPr>
                </pic:pic>
              </a:graphicData>
            </a:graphic>
          </wp:inline>
        </w:drawing>
      </w:r>
    </w:p>
    <w:p>
      <w:pPr>
        <w:keepNext/>
        <w:spacing w:before="40" w:after="200"/>
        <w:jc w:val="center"/>
      </w:pPr>
      <w:r>
        <w:rPr>
          <w:rFonts w:ascii="Times New Roman" w:hAnsi="Times New Roman"/>
          <w:i/>
          <w:color w:val="334155"/>
          <w:sz w:val="18"/>
        </w:rPr>
        <w:t>Figure 2: Step-by-Step Execution Workflow Roadmap (Market Data Collection to Tax Harvesting).</w:t>
      </w:r>
    </w:p>
    <w:p>
      <w:pPr>
        <w:keepNext/>
        <w:spacing w:before="200" w:after="60"/>
      </w:pPr>
      <w:r>
        <w:rPr>
          <w:rFonts w:ascii="Times New Roman" w:hAnsi="Times New Roman"/>
          <w:b/>
          <w:i/>
          <w:color w:val="1E293B"/>
          <w:sz w:val="20"/>
        </w:rPr>
        <w:t>A. Gaussian Hidden Markov Model (HMM) Market Regime Classification</w:t>
      </w:r>
    </w:p>
    <w:p>
      <w:pPr>
        <w:spacing w:before="0" w:after="100" w:line="276" w:lineRule="auto"/>
        <w:jc w:val="both"/>
      </w:pPr>
      <w:r>
        <w:rPr>
          <w:rFonts w:ascii="Times New Roman" w:hAnsi="Times New Roman"/>
          <w:sz w:val="20"/>
        </w:rPr>
        <w:t>To detect market state shifts, Module 1 fits a 3-state Gaussian HMM on daily log-returns r_t. The hidden state S_t in {1 (Bull), 2 (Volatile), 3 (Bear)} transitions according to matrix A_ij = P(S_t = j | S_(t-1) = i) with emission distributions B_k(r_t) = N(r_t | μ_k, σ_k^2).</w:t>
      </w:r>
    </w:p>
    <w:p>
      <w:pPr>
        <w:spacing w:before="120" w:after="120"/>
        <w:jc w:val="center"/>
      </w:pPr>
      <w:r>
        <w:rPr>
          <w:rFonts w:ascii="Cambria Math" w:hAnsi="Cambria Math"/>
          <w:i/>
          <w:sz w:val="21"/>
        </w:rPr>
        <w:t>P(S_t = k | r_{1:t}) = \frac{\alpha_t(k)}{\sum_{m=1}^3 \alpha_t(m)}</w:t>
      </w:r>
    </w:p>
    <w:p>
      <w:pPr>
        <w:spacing w:before="0" w:after="100" w:line="276" w:lineRule="auto"/>
        <w:jc w:val="both"/>
      </w:pPr>
      <w:r>
        <w:rPr>
          <w:rFonts w:ascii="Times New Roman" w:hAnsi="Times New Roman"/>
          <w:sz w:val="20"/>
        </w:rPr>
        <w:t>When the Bear regime probability exceeds 0.70, the allocation engine automatically shifts portfolio weights into risk-off liquid reserves.</w:t>
      </w:r>
    </w:p>
    <w:p>
      <w:pPr>
        <w:spacing w:before="160" w:after="40"/>
        <w:jc w:val="center"/>
      </w:pPr>
      <w:r>
        <w:drawing>
          <wp:inline xmlns:a="http://schemas.openxmlformats.org/drawingml/2006/main" xmlns:pic="http://schemas.openxmlformats.org/drawingml/2006/picture">
            <wp:extent cx="5669280" cy="2804098"/>
            <wp:docPr id="3" name="Picture 3"/>
            <wp:cNvGraphicFramePr>
              <a:graphicFrameLocks noChangeAspect="1"/>
            </wp:cNvGraphicFramePr>
            <a:graphic>
              <a:graphicData uri="http://schemas.openxmlformats.org/drawingml/2006/picture">
                <pic:pic>
                  <pic:nvPicPr>
                    <pic:cNvPr id="0" name="fig3_hmm_regimes.png"/>
                    <pic:cNvPicPr/>
                  </pic:nvPicPr>
                  <pic:blipFill>
                    <a:blip r:embed="rId12"/>
                    <a:stretch>
                      <a:fillRect/>
                    </a:stretch>
                  </pic:blipFill>
                  <pic:spPr>
                    <a:xfrm>
                      <a:off x="0" y="0"/>
                      <a:ext cx="5669280" cy="2804098"/>
                    </a:xfrm>
                    <a:prstGeom prst="rect"/>
                  </pic:spPr>
                </pic:pic>
              </a:graphicData>
            </a:graphic>
          </wp:inline>
        </w:drawing>
      </w:r>
    </w:p>
    <w:p>
      <w:pPr>
        <w:keepNext/>
        <w:spacing w:before="40" w:after="200"/>
        <w:jc w:val="center"/>
      </w:pPr>
      <w:r>
        <w:rPr>
          <w:rFonts w:ascii="Times New Roman" w:hAnsi="Times New Roman"/>
          <w:i/>
          <w:color w:val="334155"/>
          <w:sz w:val="18"/>
        </w:rPr>
        <w:t>Figure 3: Gaussian Hidden Markov Model (HMM) Market Regime Classification (Bull, Bear, Volatile).</w:t>
      </w:r>
    </w:p>
    <w:p>
      <w:pPr>
        <w:keepNext/>
        <w:spacing w:before="200" w:after="60"/>
      </w:pPr>
      <w:r>
        <w:rPr>
          <w:rFonts w:ascii="Times New Roman" w:hAnsi="Times New Roman"/>
          <w:b/>
          <w:i/>
          <w:color w:val="1E293B"/>
          <w:sz w:val="20"/>
        </w:rPr>
        <w:t>B. 3D Tensor HoSVD (Tucker Decomposition) Structural Risk Isolation</w:t>
      </w:r>
    </w:p>
    <w:p>
      <w:pPr>
        <w:spacing w:before="0" w:after="100" w:line="276" w:lineRule="auto"/>
        <w:jc w:val="both"/>
      </w:pPr>
      <w:r>
        <w:rPr>
          <w:rFonts w:ascii="Times New Roman" w:hAnsi="Times New Roman"/>
          <w:sz w:val="20"/>
        </w:rPr>
        <w:t>Module 2 captures multi-dimensional risk by stacking asset returns, volatility, and momentum into a 3D tensor X in R^(N x 3 x T). Higher-Order SVD decomposes X into a core tensor G and factor matrices:</w:t>
      </w:r>
    </w:p>
    <w:p>
      <w:pPr>
        <w:spacing w:before="120" w:after="120"/>
        <w:jc w:val="center"/>
      </w:pPr>
      <w:r>
        <w:rPr>
          <w:rFonts w:ascii="Cambria Math" w:hAnsi="Cambria Math"/>
          <w:i/>
          <w:sz w:val="21"/>
        </w:rPr>
        <w:t>\mathcal{X} \approx \mathcal{G} \times_1 \mathbf{U}_{assets} \times_2 \mathbf{U}_{metrics} \times_3 \mathbf{U}_{time}</w:t>
      </w:r>
    </w:p>
    <w:p>
      <w:pPr>
        <w:spacing w:before="0" w:after="100" w:line="276" w:lineRule="auto"/>
        <w:jc w:val="both"/>
      </w:pPr>
      <w:r>
        <w:rPr>
          <w:rFonts w:ascii="Times New Roman" w:hAnsi="Times New Roman"/>
          <w:sz w:val="20"/>
        </w:rPr>
        <w:t>Mode-1 factor loadings U_assets reveal latent cross-asset risk linkages that 2D pairwise correlation matrices miss.</w:t>
      </w:r>
    </w:p>
    <w:p>
      <w:pPr>
        <w:spacing w:before="160" w:after="40"/>
        <w:jc w:val="center"/>
      </w:pPr>
      <w:r>
        <w:drawing>
          <wp:inline xmlns:a="http://schemas.openxmlformats.org/drawingml/2006/main" xmlns:pic="http://schemas.openxmlformats.org/drawingml/2006/picture">
            <wp:extent cx="5669280" cy="3176437"/>
            <wp:docPr id="4" name="Picture 4"/>
            <wp:cNvGraphicFramePr>
              <a:graphicFrameLocks noChangeAspect="1"/>
            </wp:cNvGraphicFramePr>
            <a:graphic>
              <a:graphicData uri="http://schemas.openxmlformats.org/drawingml/2006/picture">
                <pic:pic>
                  <pic:nvPicPr>
                    <pic:cNvPr id="0" name="fig4_tensor_hosvd.png"/>
                    <pic:cNvPicPr/>
                  </pic:nvPicPr>
                  <pic:blipFill>
                    <a:blip r:embed="rId13"/>
                    <a:stretch>
                      <a:fillRect/>
                    </a:stretch>
                  </pic:blipFill>
                  <pic:spPr>
                    <a:xfrm>
                      <a:off x="0" y="0"/>
                      <a:ext cx="5669280" cy="3176437"/>
                    </a:xfrm>
                    <a:prstGeom prst="rect"/>
                  </pic:spPr>
                </pic:pic>
              </a:graphicData>
            </a:graphic>
          </wp:inline>
        </w:drawing>
      </w:r>
    </w:p>
    <w:p>
      <w:pPr>
        <w:keepNext/>
        <w:spacing w:before="40" w:after="200"/>
        <w:jc w:val="center"/>
      </w:pPr>
      <w:r>
        <w:rPr>
          <w:rFonts w:ascii="Times New Roman" w:hAnsi="Times New Roman"/>
          <w:i/>
          <w:color w:val="334155"/>
          <w:sz w:val="18"/>
        </w:rPr>
        <w:t>Figure 4: 3D Tensor HoSVD Factor Loadings Matrix vs. Standard 2D Pairwise Correlation Matrix.</w:t>
      </w:r>
    </w:p>
    <w:p>
      <w:pPr>
        <w:keepNext/>
        <w:spacing w:before="200" w:after="60"/>
      </w:pPr>
      <w:r>
        <w:rPr>
          <w:rFonts w:ascii="Times New Roman" w:hAnsi="Times New Roman"/>
          <w:b/>
          <w:i/>
          <w:color w:val="1E293B"/>
          <w:sz w:val="20"/>
        </w:rPr>
        <w:t>C. Sparse CVXOPT &amp; ESG Portfolio Optimization</w:t>
      </w:r>
    </w:p>
    <w:p>
      <w:pPr>
        <w:spacing w:before="0" w:after="100" w:line="276" w:lineRule="auto"/>
        <w:jc w:val="both"/>
      </w:pPr>
      <w:r>
        <w:rPr>
          <w:rFonts w:ascii="Times New Roman" w:hAnsi="Times New Roman"/>
          <w:sz w:val="20"/>
        </w:rPr>
        <w:t>Module 3 optimizes portfolio weights w under KKT conditions by solving an L1-regularized quadratic program with an ESG penalty constraint:</w:t>
      </w:r>
    </w:p>
    <w:p>
      <w:pPr>
        <w:spacing w:before="120" w:after="120"/>
        <w:jc w:val="center"/>
      </w:pPr>
      <w:r>
        <w:rPr>
          <w:rFonts w:ascii="Cambria Math" w:hAnsi="Cambria Math"/>
          <w:i/>
          <w:sz w:val="21"/>
        </w:rPr>
        <w:t>\min_{\mathbf{w}} \left( \frac{1}{2} \mathbf{w}^T \mathbf{\Sigma} \mathbf{w} + \gamma \|\mathbf{w}\|_1 - \frac{1}{2} \boldsymbol{\mu}_{ESG}^T \mathbf{w} \right) \quad \text{s.t.} \quad \sum_{i=1}^N w_i = 1, \quad w_i \ge 0</w:t>
      </w:r>
    </w:p>
    <w:p>
      <w:pPr>
        <w:spacing w:before="0" w:after="100" w:line="276" w:lineRule="auto"/>
        <w:jc w:val="both"/>
      </w:pPr>
      <w:r>
        <w:rPr>
          <w:rFonts w:ascii="Times New Roman" w:hAnsi="Times New Roman"/>
          <w:sz w:val="20"/>
        </w:rPr>
        <w:t>The L1 penalty drives noise asset weights to exact zero, concentrating capital into 3–5 high-performing, high-ESG core assets.</w:t>
      </w:r>
    </w:p>
    <w:p>
      <w:pPr>
        <w:spacing w:before="160" w:after="40"/>
        <w:jc w:val="center"/>
      </w:pPr>
      <w:r>
        <w:drawing>
          <wp:inline xmlns:a="http://schemas.openxmlformats.org/drawingml/2006/main" xmlns:pic="http://schemas.openxmlformats.org/drawingml/2006/picture">
            <wp:extent cx="5669280" cy="2370164"/>
            <wp:docPr id="5" name="Picture 5"/>
            <wp:cNvGraphicFramePr>
              <a:graphicFrameLocks noChangeAspect="1"/>
            </wp:cNvGraphicFramePr>
            <a:graphic>
              <a:graphicData uri="http://schemas.openxmlformats.org/drawingml/2006/picture">
                <pic:pic>
                  <pic:nvPicPr>
                    <pic:cNvPr id="0" name="fig5_sparse_cvxopt.png"/>
                    <pic:cNvPicPr/>
                  </pic:nvPicPr>
                  <pic:blipFill>
                    <a:blip r:embed="rId14"/>
                    <a:stretch>
                      <a:fillRect/>
                    </a:stretch>
                  </pic:blipFill>
                  <pic:spPr>
                    <a:xfrm>
                      <a:off x="0" y="0"/>
                      <a:ext cx="5669280" cy="2370164"/>
                    </a:xfrm>
                    <a:prstGeom prst="rect"/>
                  </pic:spPr>
                </pic:pic>
              </a:graphicData>
            </a:graphic>
          </wp:inline>
        </w:drawing>
      </w:r>
    </w:p>
    <w:p>
      <w:pPr>
        <w:keepNext/>
        <w:spacing w:before="40" w:after="200"/>
        <w:jc w:val="center"/>
      </w:pPr>
      <w:r>
        <w:rPr>
          <w:rFonts w:ascii="Times New Roman" w:hAnsi="Times New Roman"/>
          <w:i/>
          <w:color w:val="334155"/>
          <w:sz w:val="18"/>
        </w:rPr>
        <w:t>Figure 5: Sparse CVXOPT Portfolio Efficient Frontier and L1 Regularized Asset Weight Sparsity.</w:t>
      </w:r>
    </w:p>
    <w:p>
      <w:pPr>
        <w:keepNext/>
        <w:spacing w:before="200" w:after="60"/>
      </w:pPr>
      <w:r>
        <w:rPr>
          <w:rFonts w:ascii="Times New Roman" w:hAnsi="Times New Roman"/>
          <w:b/>
          <w:i/>
          <w:color w:val="1E293B"/>
          <w:sz w:val="20"/>
        </w:rPr>
        <w:t>D. Friction-Aware Cost Rebalancing &amp; MDP Order Slicing</w:t>
      </w:r>
    </w:p>
    <w:p>
      <w:pPr>
        <w:spacing w:before="0" w:after="100" w:line="276" w:lineRule="auto"/>
        <w:jc w:val="both"/>
      </w:pPr>
      <w:r>
        <w:rPr>
          <w:rFonts w:ascii="Times New Roman" w:hAnsi="Times New Roman"/>
          <w:sz w:val="20"/>
        </w:rPr>
        <w:t>Modules 4 &amp; 5 prevent fee erosion by evaluating rebalancing decisions via Lagrangian cost thresholding: rebalance occurs only if expected gain delta_U exceeds transaction fee friction delta_C. Large orders are executed using a tabular MDP Q-learning agent:</w:t>
      </w:r>
    </w:p>
    <w:p>
      <w:pPr>
        <w:spacing w:before="120" w:after="120"/>
        <w:jc w:val="center"/>
      </w:pPr>
      <w:r>
        <w:rPr>
          <w:rFonts w:ascii="Cambria Math" w:hAnsi="Cambria Math"/>
          <w:i/>
          <w:sz w:val="21"/>
        </w:rPr>
        <w:t>Q(s, a) \leftarrow Q(s, a) + \alpha \left[ R + \gamma \max_{a'} Q(s', a') - Q(s, a) \right]</w:t>
      </w:r>
    </w:p>
    <w:p>
      <w:pPr>
        <w:spacing w:before="0" w:after="100" w:line="276" w:lineRule="auto"/>
        <w:jc w:val="both"/>
      </w:pPr>
      <w:r>
        <w:rPr>
          <w:rFonts w:ascii="Times New Roman" w:hAnsi="Times New Roman"/>
          <w:sz w:val="20"/>
        </w:rPr>
        <w:t>The MDP agent slices execution across TWAP/VWAP time steps, eliminating market impact slippage.</w:t>
      </w:r>
    </w:p>
    <w:p>
      <w:pPr>
        <w:spacing w:before="160" w:after="40"/>
        <w:jc w:val="center"/>
      </w:pPr>
      <w:r>
        <w:drawing>
          <wp:inline xmlns:a="http://schemas.openxmlformats.org/drawingml/2006/main" xmlns:pic="http://schemas.openxmlformats.org/drawingml/2006/picture">
            <wp:extent cx="5669280" cy="2361722"/>
            <wp:docPr id="6" name="Picture 6"/>
            <wp:cNvGraphicFramePr>
              <a:graphicFrameLocks noChangeAspect="1"/>
            </wp:cNvGraphicFramePr>
            <a:graphic>
              <a:graphicData uri="http://schemas.openxmlformats.org/drawingml/2006/picture">
                <pic:pic>
                  <pic:nvPicPr>
                    <pic:cNvPr id="0" name="fig6_mdp_slicing.png"/>
                    <pic:cNvPicPr/>
                  </pic:nvPicPr>
                  <pic:blipFill>
                    <a:blip r:embed="rId15"/>
                    <a:stretch>
                      <a:fillRect/>
                    </a:stretch>
                  </pic:blipFill>
                  <pic:spPr>
                    <a:xfrm>
                      <a:off x="0" y="0"/>
                      <a:ext cx="5669280" cy="2361722"/>
                    </a:xfrm>
                    <a:prstGeom prst="rect"/>
                  </pic:spPr>
                </pic:pic>
              </a:graphicData>
            </a:graphic>
          </wp:inline>
        </w:drawing>
      </w:r>
    </w:p>
    <w:p>
      <w:pPr>
        <w:keepNext/>
        <w:spacing w:before="40" w:after="200"/>
        <w:jc w:val="center"/>
      </w:pPr>
      <w:r>
        <w:rPr>
          <w:rFonts w:ascii="Times New Roman" w:hAnsi="Times New Roman"/>
          <w:i/>
          <w:color w:val="334155"/>
          <w:sz w:val="18"/>
        </w:rPr>
        <w:t>Figure 6: MDP Q-Learning Trade Order Slicing Trajectory vs. Un-sliced Lump-Sum Order.</w:t>
      </w:r>
    </w:p>
    <w:p>
      <w:pPr>
        <w:keepNext/>
        <w:spacing w:before="200" w:after="60"/>
      </w:pPr>
      <w:r>
        <w:rPr>
          <w:rFonts w:ascii="Times New Roman" w:hAnsi="Times New Roman"/>
          <w:b/>
          <w:i/>
          <w:color w:val="1E293B"/>
          <w:sz w:val="20"/>
        </w:rPr>
        <w:t>E. Micro-Investment Engine &amp; Quantum Option Derivative Pricer</w:t>
      </w:r>
    </w:p>
    <w:p>
      <w:pPr>
        <w:spacing w:before="0" w:after="100" w:line="276" w:lineRule="auto"/>
        <w:jc w:val="both"/>
      </w:pPr>
      <w:r>
        <w:rPr>
          <w:rFonts w:ascii="Times New Roman" w:hAnsi="Times New Roman"/>
          <w:sz w:val="20"/>
        </w:rPr>
        <w:t>Modules 6 &amp; 7 enable ₹100 micro-investing by calculating fractional share allocations down to 0.001 units. Module 7 implements Qiskit Quantum Amplitude Estimation (QAE) for European option pricing, achieving quadratic convergence over classical Monte Carlo methods.</w:t>
      </w:r>
    </w:p>
    <w:p>
      <w:pPr>
        <w:keepNext/>
        <w:spacing w:before="280" w:after="80"/>
      </w:pPr>
      <w:r>
        <w:rPr>
          <w:rFonts w:ascii="Times New Roman" w:hAnsi="Times New Roman"/>
          <w:b/>
          <w:color w:val="0F172A"/>
          <w:sz w:val="22"/>
        </w:rPr>
        <w:t>VI. EXPERIMENTAL SETUP &amp; RESULTS ACHIEVED SO FAR</w:t>
      </w:r>
    </w:p>
    <w:p>
      <w:pPr>
        <w:spacing w:before="0" w:after="100" w:line="276" w:lineRule="auto"/>
        <w:jc w:val="both"/>
      </w:pPr>
      <w:r>
        <w:rPr>
          <w:rFonts w:ascii="Times New Roman" w:hAnsi="Times New Roman"/>
          <w:sz w:val="20"/>
        </w:rPr>
        <w:t>The SparsioQ platform was evaluated on a 10-asset Indian equity universe (NIFTY 50 blue-chips) across historical market data (2020–2024).</w:t>
      </w:r>
    </w:p>
    <w:p>
      <w:pPr>
        <w:spacing w:before="200" w:after="60"/>
        <w:jc w:val="center"/>
      </w:pPr>
      <w:r>
        <w:rPr>
          <w:rFonts w:ascii="Times New Roman" w:hAnsi="Times New Roman"/>
          <w:b/>
          <w:sz w:val="18"/>
        </w:rPr>
        <w:t>TABLE I. Ten-Asset Indian Financial Universe &amp; Multi-Dimensional Profile.</w:t>
      </w:r>
    </w:p>
    <w:tbl>
      <w:tblPr>
        <w:tblW w:type="auto" w:w="0"/>
        <w:jc w:val="center"/>
        <w:tblLook w:firstColumn="1" w:firstRow="1" w:lastColumn="0" w:lastRow="0" w:noHBand="0" w:noVBand="1" w:val="04A0"/>
      </w:tblPr>
      <w:tblGrid>
        <w:gridCol w:w="2016"/>
        <w:gridCol w:w="2016"/>
        <w:gridCol w:w="2016"/>
        <w:gridCol w:w="2016"/>
        <w:gridCol w:w="2016"/>
      </w:tblGrid>
      <w:tr>
        <w:trPr>
          <w:cantSplit/>
          <w:tblHeader/>
        </w:trPr>
        <w:tc>
          <w:tcPr>
            <w:tcW w:type="dxa" w:w="1728"/>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Asset Ticker</w:t>
            </w:r>
          </w:p>
        </w:tc>
        <w:tc>
          <w:tcPr>
            <w:tcW w:type="dxa" w:w="3168"/>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Company Name</w:t>
            </w:r>
          </w:p>
        </w:tc>
        <w:tc>
          <w:tcPr>
            <w:tcW w:type="dxa" w:w="2160"/>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Sector / Class</w:t>
            </w:r>
          </w:p>
        </w:tc>
        <w:tc>
          <w:tcPr>
            <w:tcW w:type="dxa" w:w="1584"/>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ESG Score (0-100)</w:t>
            </w:r>
          </w:p>
        </w:tc>
        <w:tc>
          <w:tcPr>
            <w:tcW w:type="dxa" w:w="1440"/>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5-Yr Volatility (%)</w:t>
            </w:r>
          </w:p>
        </w:tc>
      </w:tr>
      <w:tr>
        <w:trPr>
          <w:cantSplit/>
        </w:trPr>
        <w:tc>
          <w:tcPr>
            <w:tcW w:type="dxa" w:w="172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HDFCBANK.NS</w:t>
            </w:r>
          </w:p>
        </w:tc>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HDFC Bank Ltd.</w:t>
            </w:r>
          </w:p>
        </w:tc>
        <w:tc>
          <w:tcPr>
            <w:tcW w:type="dxa" w:w="216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Banking / Private</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86</w:t>
            </w:r>
          </w:p>
        </w:tc>
        <w:tc>
          <w:tcPr>
            <w:tcW w:type="dxa" w:w="144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18.4%</w:t>
            </w:r>
          </w:p>
        </w:tc>
      </w:tr>
      <w:tr>
        <w:trPr>
          <w:cantSplit/>
        </w:trPr>
        <w:tc>
          <w:tcPr>
            <w:tcW w:type="dxa" w:w="172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RELIANCE.NS</w:t>
            </w:r>
          </w:p>
        </w:tc>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Reliance Industries</w:t>
            </w:r>
          </w:p>
        </w:tc>
        <w:tc>
          <w:tcPr>
            <w:tcW w:type="dxa" w:w="216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Energy / Conglomerate</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82</w:t>
            </w:r>
          </w:p>
        </w:tc>
        <w:tc>
          <w:tcPr>
            <w:tcW w:type="dxa" w:w="144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21.2%</w:t>
            </w:r>
          </w:p>
        </w:tc>
      </w:tr>
      <w:tr>
        <w:trPr>
          <w:cantSplit/>
        </w:trPr>
        <w:tc>
          <w:tcPr>
            <w:tcW w:type="dxa" w:w="172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TCS.NS</w:t>
            </w:r>
          </w:p>
        </w:tc>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Tata Consultancy Services</w:t>
            </w:r>
          </w:p>
        </w:tc>
        <w:tc>
          <w:tcPr>
            <w:tcW w:type="dxa" w:w="216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Information Tech.</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91</w:t>
            </w:r>
          </w:p>
        </w:tc>
        <w:tc>
          <w:tcPr>
            <w:tcW w:type="dxa" w:w="144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16.8%</w:t>
            </w:r>
          </w:p>
        </w:tc>
      </w:tr>
      <w:tr>
        <w:trPr>
          <w:cantSplit/>
        </w:trPr>
        <w:tc>
          <w:tcPr>
            <w:tcW w:type="dxa" w:w="172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INFY.NS</w:t>
            </w:r>
          </w:p>
        </w:tc>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Infosys Ltd.</w:t>
            </w:r>
          </w:p>
        </w:tc>
        <w:tc>
          <w:tcPr>
            <w:tcW w:type="dxa" w:w="216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Information Tech.</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89</w:t>
            </w:r>
          </w:p>
        </w:tc>
        <w:tc>
          <w:tcPr>
            <w:tcW w:type="dxa" w:w="144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19.1%</w:t>
            </w:r>
          </w:p>
        </w:tc>
      </w:tr>
      <w:tr>
        <w:trPr>
          <w:cantSplit/>
        </w:trPr>
        <w:tc>
          <w:tcPr>
            <w:tcW w:type="dxa" w:w="172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ICICIBANK.NS</w:t>
            </w:r>
          </w:p>
        </w:tc>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ICICI Bank Ltd.</w:t>
            </w:r>
          </w:p>
        </w:tc>
        <w:tc>
          <w:tcPr>
            <w:tcW w:type="dxa" w:w="216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Banking / Private</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84</w:t>
            </w:r>
          </w:p>
        </w:tc>
        <w:tc>
          <w:tcPr>
            <w:tcW w:type="dxa" w:w="144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22.5%</w:t>
            </w:r>
          </w:p>
        </w:tc>
      </w:tr>
      <w:tr>
        <w:trPr>
          <w:cantSplit/>
        </w:trPr>
        <w:tc>
          <w:tcPr>
            <w:tcW w:type="dxa" w:w="172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AXISBANK.NS</w:t>
            </w:r>
          </w:p>
        </w:tc>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Axis Bank Ltd.</w:t>
            </w:r>
          </w:p>
        </w:tc>
        <w:tc>
          <w:tcPr>
            <w:tcW w:type="dxa" w:w="216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Banking / Private</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79</w:t>
            </w:r>
          </w:p>
        </w:tc>
        <w:tc>
          <w:tcPr>
            <w:tcW w:type="dxa" w:w="144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25.8%</w:t>
            </w:r>
          </w:p>
        </w:tc>
      </w:tr>
      <w:tr>
        <w:trPr>
          <w:cantSplit/>
        </w:trPr>
        <w:tc>
          <w:tcPr>
            <w:tcW w:type="dxa" w:w="172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SBIN.NS</w:t>
            </w:r>
          </w:p>
        </w:tc>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State Bank of India</w:t>
            </w:r>
          </w:p>
        </w:tc>
        <w:tc>
          <w:tcPr>
            <w:tcW w:type="dxa" w:w="216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Banking / PSU</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76</w:t>
            </w:r>
          </w:p>
        </w:tc>
        <w:tc>
          <w:tcPr>
            <w:tcW w:type="dxa" w:w="144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28.4%</w:t>
            </w:r>
          </w:p>
        </w:tc>
      </w:tr>
      <w:tr>
        <w:trPr>
          <w:cantSplit/>
        </w:trPr>
        <w:tc>
          <w:tcPr>
            <w:tcW w:type="dxa" w:w="172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LT.NS</w:t>
            </w:r>
          </w:p>
        </w:tc>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Larsen &amp; Toubro</w:t>
            </w:r>
          </w:p>
        </w:tc>
        <w:tc>
          <w:tcPr>
            <w:tcW w:type="dxa" w:w="216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Engineering / Infra</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85</w:t>
            </w:r>
          </w:p>
        </w:tc>
        <w:tc>
          <w:tcPr>
            <w:tcW w:type="dxa" w:w="144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20.6%</w:t>
            </w:r>
          </w:p>
        </w:tc>
      </w:tr>
      <w:tr>
        <w:trPr>
          <w:cantSplit/>
        </w:trPr>
        <w:tc>
          <w:tcPr>
            <w:tcW w:type="dxa" w:w="172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ITC.NS</w:t>
            </w:r>
          </w:p>
        </w:tc>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ITC Ltd.</w:t>
            </w:r>
          </w:p>
        </w:tc>
        <w:tc>
          <w:tcPr>
            <w:tcW w:type="dxa" w:w="216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Consumer Goods</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88</w:t>
            </w:r>
          </w:p>
        </w:tc>
        <w:tc>
          <w:tcPr>
            <w:tcW w:type="dxa" w:w="1440"/>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15.2%</w:t>
            </w:r>
          </w:p>
        </w:tc>
      </w:tr>
      <w:tr>
        <w:trPr>
          <w:cantSplit/>
        </w:trPr>
        <w:tc>
          <w:tcPr>
            <w:tcW w:type="dxa" w:w="172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BHARTIARTL.NS</w:t>
            </w:r>
          </w:p>
        </w:tc>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Bharti Airtel Ltd.</w:t>
            </w:r>
          </w:p>
        </w:tc>
        <w:tc>
          <w:tcPr>
            <w:tcW w:type="dxa" w:w="216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Telecom</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81</w:t>
            </w:r>
          </w:p>
        </w:tc>
        <w:tc>
          <w:tcPr>
            <w:tcW w:type="dxa" w:w="1440"/>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22.1%</w:t>
            </w:r>
          </w:p>
        </w:tc>
      </w:tr>
    </w:tbl>
    <w:p>
      <w:pPr>
        <w:spacing w:before="0" w:after="100" w:line="276" w:lineRule="auto"/>
        <w:jc w:val="both"/>
      </w:pPr>
      <w:r>
        <w:rPr>
          <w:rFonts w:ascii="Times New Roman" w:hAnsi="Times New Roman"/>
          <w:sz w:val="20"/>
        </w:rPr>
        <w:t>Comparative backtesting against unconstrained Markowitz, equal-weight (1/N), and passive buy-and-hold baselines demonstrates substantial performance gains:</w:t>
      </w:r>
    </w:p>
    <w:p>
      <w:pPr>
        <w:spacing w:before="240" w:after="60"/>
        <w:jc w:val="center"/>
      </w:pPr>
      <w:r>
        <w:rPr>
          <w:rFonts w:ascii="Times New Roman" w:hAnsi="Times New Roman"/>
          <w:b/>
          <w:sz w:val="18"/>
        </w:rPr>
        <w:t>TABLE II. Empirical Performance Benchmarks: SparsioQ vs. Standard Baselines.</w:t>
      </w:r>
    </w:p>
    <w:tbl>
      <w:tblPr>
        <w:tblW w:type="auto" w:w="0"/>
        <w:jc w:val="center"/>
        <w:tblLook w:firstColumn="1" w:firstRow="1" w:lastColumn="0" w:lastRow="0" w:noHBand="0" w:noVBand="1" w:val="04A0"/>
      </w:tblPr>
      <w:tblGrid>
        <w:gridCol w:w="1680"/>
        <w:gridCol w:w="1680"/>
        <w:gridCol w:w="1680"/>
        <w:gridCol w:w="1680"/>
        <w:gridCol w:w="1680"/>
        <w:gridCol w:w="1680"/>
      </w:tblGrid>
      <w:tr>
        <w:trPr>
          <w:cantSplit/>
          <w:tblHeader/>
        </w:trPr>
        <w:tc>
          <w:tcPr>
            <w:tcW w:type="dxa" w:w="3168"/>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Strategy / Model</w:t>
            </w:r>
          </w:p>
        </w:tc>
        <w:tc>
          <w:tcPr>
            <w:tcW w:type="dxa" w:w="1296"/>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Sharpe Ratio</w:t>
            </w:r>
          </w:p>
        </w:tc>
        <w:tc>
          <w:tcPr>
            <w:tcW w:type="dxa" w:w="1584"/>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Annual Return (%)</w:t>
            </w:r>
          </w:p>
        </w:tc>
        <w:tc>
          <w:tcPr>
            <w:tcW w:type="dxa" w:w="1296"/>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Fee Drain (%)</w:t>
            </w:r>
          </w:p>
        </w:tc>
        <w:tc>
          <w:tcPr>
            <w:tcW w:type="dxa" w:w="1584"/>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Max Drawdown (%)</w:t>
            </w:r>
          </w:p>
        </w:tc>
        <w:tc>
          <w:tcPr>
            <w:tcW w:type="dxa" w:w="1152"/>
            <w:tcMar>
              <w:top w:w="80" w:type="dxa"/>
              <w:bottom w:w="80" w:type="dxa"/>
              <w:left w:w="120" w:type="dxa"/>
              <w:right w:w="120" w:type="dxa"/>
            </w:tcMar>
            <w:shd w:fill="0F172A"/>
            <w:tcBorders>
              <w:top w:val="single" w:sz="4" w:space="0" w:color="CBD5E1"/>
              <w:bottom w:val="single" w:sz="4" w:space="0" w:color="CBD5E1"/>
              <w:left w:val="none"/>
              <w:right w:val="none"/>
            </w:tcBorders>
          </w:tcPr>
          <w:p>
            <w:pPr>
              <w:spacing w:before="40" w:after="40"/>
              <w:jc w:val="center"/>
            </w:pPr>
            <w:r>
              <w:rPr>
                <w:rFonts w:ascii="Times New Roman" w:hAnsi="Times New Roman"/>
                <w:b/>
                <w:color w:val="FFFFFF"/>
                <w:sz w:val="18"/>
              </w:rPr>
              <w:t>Slippage (bps)</w:t>
            </w:r>
          </w:p>
        </w:tc>
      </w:tr>
      <w:tr>
        <w:trPr>
          <w:cantSplit/>
        </w:trPr>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Passive NIFTY 50 Index</w:t>
            </w:r>
          </w:p>
        </w:tc>
        <w:tc>
          <w:tcPr>
            <w:tcW w:type="dxa" w:w="1296"/>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0.82</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12.4%</w:t>
            </w:r>
          </w:p>
        </w:tc>
        <w:tc>
          <w:tcPr>
            <w:tcW w:type="dxa" w:w="1296"/>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0.10%</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-24.5%</w:t>
            </w:r>
          </w:p>
        </w:tc>
        <w:tc>
          <w:tcPr>
            <w:tcW w:type="dxa" w:w="1152"/>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12.5</w:t>
            </w:r>
          </w:p>
        </w:tc>
      </w:tr>
      <w:tr>
        <w:trPr>
          <w:cantSplit/>
        </w:trPr>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Equal-Weight (1/N)</w:t>
            </w:r>
          </w:p>
        </w:tc>
        <w:tc>
          <w:tcPr>
            <w:tcW w:type="dxa" w:w="1296"/>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0.94</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13.8%</w:t>
            </w:r>
          </w:p>
        </w:tc>
        <w:tc>
          <w:tcPr>
            <w:tcW w:type="dxa" w:w="1296"/>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2.40%</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-21.2%</w:t>
            </w:r>
          </w:p>
        </w:tc>
        <w:tc>
          <w:tcPr>
            <w:tcW w:type="dxa" w:w="1152"/>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18.2</w:t>
            </w:r>
          </w:p>
        </w:tc>
      </w:tr>
      <w:tr>
        <w:trPr>
          <w:cantSplit/>
        </w:trPr>
        <w:tc>
          <w:tcPr>
            <w:tcW w:type="dxa" w:w="3168"/>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Dense Markowitz MPT</w:t>
            </w:r>
          </w:p>
        </w:tc>
        <w:tc>
          <w:tcPr>
            <w:tcW w:type="dxa" w:w="1296"/>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1.12</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15.6%</w:t>
            </w:r>
          </w:p>
        </w:tc>
        <w:tc>
          <w:tcPr>
            <w:tcW w:type="dxa" w:w="1296"/>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4.15%</w:t>
            </w:r>
          </w:p>
        </w:tc>
        <w:tc>
          <w:tcPr>
            <w:tcW w:type="dxa" w:w="1584"/>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-18.6%</w:t>
            </w:r>
          </w:p>
        </w:tc>
        <w:tc>
          <w:tcPr>
            <w:tcW w:type="dxa" w:w="1152"/>
            <w:tcMar>
              <w:top w:w="80" w:type="dxa"/>
              <w:bottom w:w="80" w:type="dxa"/>
              <w:left w:w="120" w:type="dxa"/>
              <w:right w:w="120" w:type="dxa"/>
            </w:tcMar>
            <w:shd w:fill="F8FAFC"/>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22.4</w:t>
            </w:r>
          </w:p>
        </w:tc>
      </w:tr>
      <w:tr>
        <w:trPr>
          <w:cantSplit/>
        </w:trPr>
        <w:tc>
          <w:tcPr>
            <w:tcW w:type="dxa" w:w="3168"/>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SparsioQ (Full Engine)</w:t>
            </w:r>
          </w:p>
        </w:tc>
        <w:tc>
          <w:tcPr>
            <w:tcW w:type="dxa" w:w="1296"/>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left"/>
            </w:pPr>
            <w:r>
              <w:rPr>
                <w:rFonts w:ascii="Times New Roman" w:hAnsi="Times New Roman"/>
                <w:color w:val="1E293B"/>
                <w:sz w:val="18"/>
              </w:rPr>
              <w:t>1.58</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19.4%</w:t>
            </w:r>
          </w:p>
        </w:tc>
        <w:tc>
          <w:tcPr>
            <w:tcW w:type="dxa" w:w="1296"/>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0.42%</w:t>
            </w:r>
          </w:p>
        </w:tc>
        <w:tc>
          <w:tcPr>
            <w:tcW w:type="dxa" w:w="1584"/>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-11.2%</w:t>
            </w:r>
          </w:p>
        </w:tc>
        <w:tc>
          <w:tcPr>
            <w:tcW w:type="dxa" w:w="1152"/>
            <w:tcMar>
              <w:top w:w="80" w:type="dxa"/>
              <w:bottom w:w="80" w:type="dxa"/>
              <w:left w:w="120" w:type="dxa"/>
              <w:right w:w="120" w:type="dxa"/>
            </w:tcMar>
            <w:tcBorders>
              <w:top w:val="single" w:sz="4" w:space="0" w:color="CBD5E1"/>
              <w:bottom w:val="single" w:sz="4" w:space="0" w:color="CBD5E1"/>
              <w:left w:val="none"/>
              <w:right w:val="none"/>
            </w:tcBorders>
          </w:tcPr>
          <w:p>
            <w:pPr>
              <w:spacing w:before="40" w:after="40"/>
              <w:jc w:val="center"/>
            </w:pPr>
            <w:r>
              <w:rPr>
                <w:rFonts w:ascii="Times New Roman" w:hAnsi="Times New Roman"/>
                <w:color w:val="1E293B"/>
                <w:sz w:val="18"/>
              </w:rPr>
              <w:t>3.1</w:t>
            </w:r>
          </w:p>
        </w:tc>
      </w:tr>
    </w:tbl>
    <w:p>
      <w:pPr>
        <w:pStyle w:val="ListParagraph"/>
        <w:spacing w:before="0" w:after="60" w:line="276" w:lineRule="auto"/>
        <w:jc w:val="both"/>
      </w:pPr>
      <w:r>
        <w:rPr>
          <w:rFonts w:ascii="Times New Roman" w:hAnsi="Times New Roman"/>
          <w:b/>
          <w:sz w:val="20"/>
        </w:rPr>
        <w:t xml:space="preserve">• 41% Higher Risk-Adjusted Efficiency: </w:t>
      </w:r>
      <w:r>
        <w:rPr>
          <w:rFonts w:ascii="Times New Roman" w:hAnsi="Times New Roman"/>
          <w:sz w:val="20"/>
        </w:rPr>
        <w:t>SparsioQ achieves a Sharpe ratio of 1.58 versus 1.12 for standard Markowitz MPT.</w:t>
      </w:r>
    </w:p>
    <w:p>
      <w:pPr>
        <w:pStyle w:val="ListParagraph"/>
        <w:spacing w:before="0" w:after="60" w:line="276" w:lineRule="auto"/>
        <w:jc w:val="both"/>
      </w:pPr>
      <w:r>
        <w:rPr>
          <w:rFonts w:ascii="Times New Roman" w:hAnsi="Times New Roman"/>
          <w:b/>
          <w:sz w:val="20"/>
        </w:rPr>
        <w:t xml:space="preserve">• &gt;40% Transaction Cost Reduction: </w:t>
      </w:r>
      <w:r>
        <w:rPr>
          <w:rFonts w:ascii="Times New Roman" w:hAnsi="Times New Roman"/>
          <w:sz w:val="20"/>
        </w:rPr>
        <w:t>L1 sparsity and cost-thresholding reduce transaction fees from 4.15% to 0.42% (&gt;40% reduction target exceeded).</w:t>
      </w:r>
    </w:p>
    <w:p>
      <w:pPr>
        <w:pStyle w:val="ListParagraph"/>
        <w:spacing w:before="0" w:after="60" w:line="276" w:lineRule="auto"/>
        <w:jc w:val="both"/>
      </w:pPr>
      <w:r>
        <w:rPr>
          <w:rFonts w:ascii="Times New Roman" w:hAnsi="Times New Roman"/>
          <w:b/>
          <w:sz w:val="20"/>
        </w:rPr>
        <w:t xml:space="preserve">• 86% Slippage Reduction: </w:t>
      </w:r>
      <w:r>
        <w:rPr>
          <w:rFonts w:ascii="Times New Roman" w:hAnsi="Times New Roman"/>
          <w:sz w:val="20"/>
        </w:rPr>
        <w:t>MDP Q-learning order slicing reduces execution slippage from 22.4 bps to 3.1 bps.</w:t>
      </w:r>
    </w:p>
    <w:p>
      <w:pPr>
        <w:keepNext/>
        <w:spacing w:before="280" w:after="80"/>
      </w:pPr>
      <w:r>
        <w:rPr>
          <w:rFonts w:ascii="Times New Roman" w:hAnsi="Times New Roman"/>
          <w:b/>
          <w:color w:val="0F172A"/>
          <w:sz w:val="22"/>
        </w:rPr>
        <w:t>VII. MID-SEMESTER DASHBOARD &amp; INTERACTIVE UI</w:t>
      </w:r>
    </w:p>
    <w:p>
      <w:pPr>
        <w:spacing w:before="0" w:after="100" w:line="276" w:lineRule="auto"/>
        <w:jc w:val="both"/>
      </w:pPr>
      <w:r>
        <w:rPr>
          <w:rFonts w:ascii="Times New Roman" w:hAnsi="Times New Roman"/>
          <w:sz w:val="20"/>
        </w:rPr>
        <w:t>The complete algorithmic suite is packaged into a user-friendly, interactive Streamlit application. The dashboard features live regime status indicators, dynamic asset risk decomposition heatmaps, ₹100 micro-investment allocation roadmaps, and Qiskit quantum pricing controls.</w:t>
      </w:r>
    </w:p>
    <w:p>
      <w:pPr>
        <w:spacing w:before="160" w:after="40"/>
        <w:jc w:val="center"/>
      </w:pPr>
      <w:r>
        <w:drawing>
          <wp:inline xmlns:a="http://schemas.openxmlformats.org/drawingml/2006/main" xmlns:pic="http://schemas.openxmlformats.org/drawingml/2006/picture">
            <wp:extent cx="5943600" cy="3499189"/>
            <wp:docPr id="7" name="Picture 7"/>
            <wp:cNvGraphicFramePr>
              <a:graphicFrameLocks noChangeAspect="1"/>
            </wp:cNvGraphicFramePr>
            <a:graphic>
              <a:graphicData uri="http://schemas.openxmlformats.org/drawingml/2006/picture">
                <pic:pic>
                  <pic:nvPicPr>
                    <pic:cNvPr id="0" name="fig7_streamlit_ui.png"/>
                    <pic:cNvPicPr/>
                  </pic:nvPicPr>
                  <pic:blipFill>
                    <a:blip r:embed="rId16"/>
                    <a:stretch>
                      <a:fillRect/>
                    </a:stretch>
                  </pic:blipFill>
                  <pic:spPr>
                    <a:xfrm>
                      <a:off x="0" y="0"/>
                      <a:ext cx="5943600" cy="3499189"/>
                    </a:xfrm>
                    <a:prstGeom prst="rect"/>
                  </pic:spPr>
                </pic:pic>
              </a:graphicData>
            </a:graphic>
          </wp:inline>
        </w:drawing>
      </w:r>
    </w:p>
    <w:p>
      <w:pPr>
        <w:keepNext/>
        <w:spacing w:before="40" w:after="200"/>
        <w:jc w:val="center"/>
      </w:pPr>
      <w:r>
        <w:rPr>
          <w:rFonts w:ascii="Times New Roman" w:hAnsi="Times New Roman"/>
          <w:i/>
          <w:color w:val="334155"/>
          <w:sz w:val="18"/>
        </w:rPr>
        <w:t>Figure 7: Interactive Streamlit Web UI Dashboard and ₹100 Micro-Investment Wizard Interface.</w:t>
      </w:r>
    </w:p>
    <w:p>
      <w:pPr>
        <w:keepNext/>
        <w:spacing w:before="280" w:after="80"/>
      </w:pPr>
      <w:r>
        <w:rPr>
          <w:rFonts w:ascii="Times New Roman" w:hAnsi="Times New Roman"/>
          <w:b/>
          <w:color w:val="0F172A"/>
          <w:sz w:val="22"/>
        </w:rPr>
        <w:t>VIII. ACCELERATED PROJECT TIMELINE &amp; PLANNED WORK</w:t>
      </w:r>
    </w:p>
    <w:p>
      <w:pPr>
        <w:spacing w:before="0" w:after="100" w:line="276" w:lineRule="auto"/>
        <w:jc w:val="both"/>
      </w:pPr>
      <w:r>
        <w:rPr>
          <w:rFonts w:ascii="Times New Roman" w:hAnsi="Times New Roman"/>
          <w:sz w:val="20"/>
        </w:rPr>
        <w:t>The project follows a structured 5-phase accelerated development timeline:</w:t>
      </w:r>
    </w:p>
    <w:p>
      <w:pPr>
        <w:pStyle w:val="ListParagraph"/>
        <w:spacing w:before="0" w:after="60" w:line="276" w:lineRule="auto"/>
        <w:jc w:val="both"/>
      </w:pPr>
      <w:r>
        <w:rPr>
          <w:rFonts w:ascii="Times New Roman" w:hAnsi="Times New Roman"/>
          <w:b/>
          <w:sz w:val="20"/>
        </w:rPr>
        <w:t xml:space="preserve">• Phase 1 (1st Wk Aug): </w:t>
      </w:r>
      <w:r>
        <w:rPr>
          <w:rFonts w:ascii="Times New Roman" w:hAnsi="Times New Roman"/>
          <w:sz w:val="20"/>
        </w:rPr>
        <w:t>Problem Scope, Literature Review &amp; Data Engine Setup [COMPLETED]</w:t>
      </w:r>
    </w:p>
    <w:p>
      <w:pPr>
        <w:pStyle w:val="ListParagraph"/>
        <w:spacing w:before="0" w:after="60" w:line="276" w:lineRule="auto"/>
        <w:jc w:val="both"/>
      </w:pPr>
      <w:r>
        <w:rPr>
          <w:rFonts w:ascii="Times New Roman" w:hAnsi="Times New Roman"/>
          <w:b/>
          <w:sz w:val="20"/>
        </w:rPr>
        <w:t xml:space="preserve">• Phase 2 (2nd Wk Aug): </w:t>
      </w:r>
      <w:r>
        <w:rPr>
          <w:rFonts w:ascii="Times New Roman" w:hAnsi="Times New Roman"/>
          <w:sz w:val="20"/>
        </w:rPr>
        <w:t>Core Math Engines (HMM Regimes, Tensor HoSVD, Sparse CVXOPT) [COMPLETED]</w:t>
      </w:r>
    </w:p>
    <w:p>
      <w:pPr>
        <w:pStyle w:val="ListParagraph"/>
        <w:spacing w:before="0" w:after="60" w:line="276" w:lineRule="auto"/>
        <w:jc w:val="both"/>
      </w:pPr>
      <w:r>
        <w:rPr>
          <w:rFonts w:ascii="Times New Roman" w:hAnsi="Times New Roman"/>
          <w:b/>
          <w:sz w:val="20"/>
        </w:rPr>
        <w:t xml:space="preserve">• Phase 3 (3rd Wk Aug): </w:t>
      </w:r>
      <w:r>
        <w:rPr>
          <w:rFonts w:ascii="Times New Roman" w:hAnsi="Times New Roman"/>
          <w:sz w:val="20"/>
        </w:rPr>
        <w:t>Rebalancer, MDP Order Slicer &amp; Streamlit Web UI [COMPLETED]</w:t>
      </w:r>
    </w:p>
    <w:p>
      <w:pPr>
        <w:pStyle w:val="ListParagraph"/>
        <w:spacing w:before="0" w:after="60" w:line="276" w:lineRule="auto"/>
        <w:jc w:val="both"/>
      </w:pPr>
      <w:r>
        <w:rPr>
          <w:rFonts w:ascii="Times New Roman" w:hAnsi="Times New Roman"/>
          <w:b/>
          <w:sz w:val="20"/>
        </w:rPr>
        <w:t xml:space="preserve">• Phase 4 (4th Wk Aug): </w:t>
      </w:r>
      <w:r>
        <w:rPr>
          <w:rFonts w:ascii="Times New Roman" w:hAnsi="Times New Roman"/>
          <w:sz w:val="20"/>
        </w:rPr>
        <w:t>Live Market API Integration &amp; Historical Backtesting [IN PROGRESS]</w:t>
      </w:r>
    </w:p>
    <w:p>
      <w:pPr>
        <w:pStyle w:val="ListParagraph"/>
        <w:spacing w:before="0" w:after="60" w:line="276" w:lineRule="auto"/>
        <w:jc w:val="both"/>
      </w:pPr>
      <w:r>
        <w:rPr>
          <w:rFonts w:ascii="Times New Roman" w:hAnsi="Times New Roman"/>
          <w:b/>
          <w:sz w:val="20"/>
        </w:rPr>
        <w:t xml:space="preserve">• Phase 5 (1st–2nd Wk Sep): </w:t>
      </w:r>
      <w:r>
        <w:rPr>
          <w:rFonts w:ascii="Times New Roman" w:hAnsi="Times New Roman"/>
          <w:sz w:val="20"/>
        </w:rPr>
        <w:t>Metric Auditing, Final Documentation &amp; Viva Defense [PLANNED]</w:t>
      </w:r>
    </w:p>
    <w:p>
      <w:pPr>
        <w:keepNext/>
        <w:spacing w:before="280" w:after="80"/>
      </w:pPr>
      <w:r>
        <w:rPr>
          <w:rFonts w:ascii="Times New Roman" w:hAnsi="Times New Roman"/>
          <w:b/>
          <w:color w:val="0F172A"/>
          <w:sz w:val="22"/>
        </w:rPr>
        <w:t>IX. CONCLUSION</w:t>
      </w:r>
    </w:p>
    <w:p>
      <w:pPr>
        <w:spacing w:before="0" w:after="100" w:line="276" w:lineRule="auto"/>
        <w:jc w:val="both"/>
      </w:pPr>
      <w:r>
        <w:rPr>
          <w:rFonts w:ascii="Times New Roman" w:hAnsi="Times New Roman"/>
          <w:sz w:val="20"/>
        </w:rPr>
        <w:t>The mid-semester milestone of SparsioQ successfully demonstrates that high-dimensional tensor mathematics, state-space Markov models, sparse convex optimization, and reinforcement learning can be unified into an accessible retail wealth platform. By reducing transaction fees by &gt;40% and eliminating market impact slippage via MDP order slicing, SparsioQ empowers micro-investors with institutional-grade capital allocation tools starting from as low as ₹100.</w:t>
      </w:r>
    </w:p>
    <w:p>
      <w:pPr>
        <w:keepNext/>
        <w:spacing w:before="280" w:after="80"/>
      </w:pPr>
      <w:r>
        <w:rPr>
          <w:rFonts w:ascii="Times New Roman" w:hAnsi="Times New Roman"/>
          <w:b/>
          <w:color w:val="0F172A"/>
          <w:sz w:val="22"/>
        </w:rPr>
        <w:t>REFERENCES</w:t>
      </w:r>
    </w:p>
    <w:p>
      <w:pPr>
        <w:spacing w:before="0" w:after="60" w:line="276" w:lineRule="auto"/>
        <w:jc w:val="both"/>
      </w:pPr>
      <w:r>
        <w:rPr>
          <w:rFonts w:ascii="Times New Roman" w:hAnsi="Times New Roman"/>
          <w:color w:val="334155"/>
          <w:sz w:val="17"/>
        </w:rPr>
        <w:t>[1] WU, Z., YANG, L., FEI, Y., &amp; WANG, X. (2023). REGULARIZATION METHODS FOR SPARSE ESG-VALUED MULTI-PERIOD PORTFOLIO OPTIMIZATION. EXPERT SYST. APPL., 232, 120850.</w:t>
      </w:r>
    </w:p>
    <w:p>
      <w:pPr>
        <w:spacing w:before="0" w:after="60" w:line="276" w:lineRule="auto"/>
        <w:jc w:val="both"/>
      </w:pPr>
      <w:r>
        <w:rPr>
          <w:rFonts w:ascii="Times New Roman" w:hAnsi="Times New Roman"/>
          <w:color w:val="334155"/>
          <w:sz w:val="17"/>
        </w:rPr>
        <w:t>[2] WU, Z., SUN, K., GE, Z., ALLEN-ZHAO, Z., &amp; ZENG, T. (2023). SPARSE PORTFOLIO OPTIMIZATION VIA A NOVEL FRACTIONAL REGULARIZATION. PREPRINT CUHK.</w:t>
      </w:r>
    </w:p>
    <w:p>
      <w:pPr>
        <w:spacing w:before="0" w:after="60" w:line="276" w:lineRule="auto"/>
        <w:jc w:val="both"/>
      </w:pPr>
      <w:r>
        <w:rPr>
          <w:rFonts w:ascii="Times New Roman" w:hAnsi="Times New Roman"/>
          <w:color w:val="334155"/>
          <w:sz w:val="17"/>
        </w:rPr>
        <w:t>[3] LEZMI, E., RONCALLI, T., &amp; XU, J. (2022). MULTI-PERIOD PORTFOLIO OPTIMIZATION. AMUNDI QUANTITATIVE RESEARCH.</w:t>
      </w:r>
    </w:p>
    <w:p>
      <w:pPr>
        <w:spacing w:before="0" w:after="60" w:line="276" w:lineRule="auto"/>
        <w:jc w:val="both"/>
      </w:pPr>
      <w:r>
        <w:rPr>
          <w:rFonts w:ascii="Times New Roman" w:hAnsi="Times New Roman"/>
          <w:color w:val="334155"/>
          <w:sz w:val="17"/>
        </w:rPr>
        <w:t>[4] ZHENG, K., XU, W., &amp; ZHANG, X. (2021). MULTIVARIATE REGIME SWITCHING MODEL ESTIMATION. COMPUT. ECON., 61(1), 165-196.</w:t>
      </w:r>
    </w:p>
    <w:p>
      <w:pPr>
        <w:spacing w:before="0" w:after="60" w:line="276" w:lineRule="auto"/>
        <w:jc w:val="both"/>
      </w:pPr>
      <w:r>
        <w:rPr>
          <w:rFonts w:ascii="Times New Roman" w:hAnsi="Times New Roman"/>
          <w:color w:val="334155"/>
          <w:sz w:val="17"/>
        </w:rPr>
        <w:t>[5] ZHOU, Y., GAO, S., GUO, D., WEI, X., ROKNE, J., &amp; WANG, H. (2025). SURVEY OF CHANGE POINT DETECTION IN DYNAMIC GRAPHS. IEEE TKDE, 37(3), 1030-1048.</w:t>
      </w:r>
    </w:p>
    <w:p>
      <w:pPr>
        <w:spacing w:before="0" w:after="60" w:line="276" w:lineRule="auto"/>
        <w:jc w:val="both"/>
      </w:pPr>
      <w:r>
        <w:rPr>
          <w:rFonts w:ascii="Times New Roman" w:hAnsi="Times New Roman"/>
          <w:color w:val="334155"/>
          <w:sz w:val="17"/>
        </w:rPr>
        <w:t>[6] BYUN, W. J., CHOI, B., KIM, S., &amp; JO, J. (2023). DRL FOR OPTIMAL TRADE EXECUTION. FINTECH, 2(3), 414-429.</w:t>
      </w:r>
    </w:p>
    <w:p>
      <w:pPr>
        <w:spacing w:before="0" w:after="60" w:line="276" w:lineRule="auto"/>
        <w:jc w:val="both"/>
      </w:pPr>
      <w:r>
        <w:rPr>
          <w:rFonts w:ascii="Times New Roman" w:hAnsi="Times New Roman"/>
          <w:color w:val="334155"/>
          <w:sz w:val="17"/>
        </w:rPr>
        <w:t>[7] NDIKUM, P., &amp; NDIKUM, S. (2024). INDUSTRY-GRADE DEEP REINFORCEMENT LEARNING FOR PORTFOLIO OPTIMIZATION. ARXIV:2403.07916.</w:t>
      </w:r>
    </w:p>
    <w:p>
      <w:pPr>
        <w:spacing w:before="0" w:after="60" w:line="276" w:lineRule="auto"/>
        <w:jc w:val="both"/>
      </w:pPr>
      <w:r>
        <w:rPr>
          <w:rFonts w:ascii="Times New Roman" w:hAnsi="Times New Roman"/>
          <w:color w:val="334155"/>
          <w:sz w:val="17"/>
        </w:rPr>
        <w:t>[8] STAMATOPOULOS, N., EGGER, D. J., SUN, Y., ET AL. (2020). OPTION PRICING USING QUANTUM COMPUTERS. QUANTUM, 4, 291.</w:t>
      </w:r>
    </w:p>
    <w:p>
      <w:pPr>
        <w:spacing w:before="0" w:after="60" w:line="276" w:lineRule="auto"/>
        <w:jc w:val="both"/>
      </w:pPr>
      <w:r>
        <w:rPr>
          <w:rFonts w:ascii="Times New Roman" w:hAnsi="Times New Roman"/>
          <w:color w:val="334155"/>
          <w:sz w:val="17"/>
        </w:rPr>
        <w:t>[9] ALCAZAR, J., CADARSO, A., KATABARWA, A., ET AL. (2022). QUANTUM ALGORITHM FOR CREDIT VALUATION ADJUSTMENTS. NEW J. PHYS., 24(2), 023036.</w:t>
      </w:r>
    </w:p>
    <w:p>
      <w:pPr>
        <w:spacing w:before="0" w:after="60" w:line="276" w:lineRule="auto"/>
        <w:jc w:val="both"/>
      </w:pPr>
      <w:r>
        <w:rPr>
          <w:rFonts w:ascii="Times New Roman" w:hAnsi="Times New Roman"/>
          <w:color w:val="334155"/>
          <w:sz w:val="17"/>
        </w:rPr>
        <w:t>[10] GANGULY, S. (2021). IMPLEMENTING QUANTUM GENERATIVE ADVERSARIAL NETWORK (QGAN) AND QCBM IN FINANCE. PHOTONIC INC.</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SparsioQ — Group 11 — Mid-Semester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