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222" w:rsidRPr="00972222" w:rsidRDefault="00972222" w:rsidP="00832DCC">
      <w:pPr>
        <w:rPr>
          <w:b/>
        </w:rPr>
      </w:pPr>
      <w:r>
        <w:rPr>
          <w:b/>
        </w:rPr>
        <w:t>Introduction</w:t>
      </w:r>
    </w:p>
    <w:p w:rsidR="008C2203" w:rsidRDefault="00832DCC" w:rsidP="00832DCC">
      <w:pPr>
        <w:pStyle w:val="ListParagraph"/>
        <w:numPr>
          <w:ilvl w:val="0"/>
          <w:numId w:val="1"/>
        </w:numPr>
      </w:pPr>
      <w:r>
        <w:t xml:space="preserve">Despite widespread use of count and binary outcome models, very few (lit search results) researchers report model results in terms of the quantities they set out to understand. In count models, this </w:t>
      </w:r>
      <w:r w:rsidR="005B121F">
        <w:t xml:space="preserve">entails </w:t>
      </w:r>
      <w:r>
        <w:t>predicted counts, and in binary outcome models, this entails projecting predicted probabilities of an event occurring.</w:t>
      </w:r>
    </w:p>
    <w:p w:rsidR="00832DCC" w:rsidRDefault="00832DCC" w:rsidP="00832DCC">
      <w:pPr>
        <w:pStyle w:val="ListParagraph"/>
        <w:numPr>
          <w:ilvl w:val="1"/>
          <w:numId w:val="1"/>
        </w:numPr>
      </w:pPr>
      <w:r>
        <w:t>We advocate for presenting quantities of interest directly, as models are readily able to output direct predictions of these quantities.</w:t>
      </w:r>
    </w:p>
    <w:p w:rsidR="00832DCC" w:rsidRDefault="008C2203" w:rsidP="00832DCC">
      <w:pPr>
        <w:pStyle w:val="ListParagraph"/>
        <w:numPr>
          <w:ilvl w:val="1"/>
          <w:numId w:val="1"/>
        </w:numPr>
      </w:pPr>
      <w:r>
        <w:t xml:space="preserve">Thoughtful graphical and tabular presentation of data can facilitate intuition even when models are </w:t>
      </w:r>
      <w:proofErr w:type="gramStart"/>
      <w:r>
        <w:t>complicated, and</w:t>
      </w:r>
      <w:proofErr w:type="gramEnd"/>
      <w:r>
        <w:t xml:space="preserve"> present a richer source of information than single parameters. </w:t>
      </w:r>
    </w:p>
    <w:p w:rsidR="00972222" w:rsidRDefault="00972222" w:rsidP="00972222">
      <w:r w:rsidRPr="00972222">
        <w:rPr>
          <w:b/>
        </w:rPr>
        <w:t xml:space="preserve">Interpretation </w:t>
      </w:r>
      <w:r>
        <w:rPr>
          <w:b/>
        </w:rPr>
        <w:t xml:space="preserve">of single </w:t>
      </w:r>
      <w:r w:rsidRPr="00972222">
        <w:rPr>
          <w:b/>
        </w:rPr>
        <w:t xml:space="preserve">coefficients </w:t>
      </w:r>
      <w:r>
        <w:rPr>
          <w:b/>
        </w:rPr>
        <w:t>does not capture model effects well</w:t>
      </w:r>
    </w:p>
    <w:p w:rsidR="00832DCC" w:rsidRDefault="00832DCC" w:rsidP="00832DCC">
      <w:pPr>
        <w:pStyle w:val="ListParagraph"/>
        <w:numPr>
          <w:ilvl w:val="0"/>
          <w:numId w:val="1"/>
        </w:numPr>
      </w:pPr>
      <w:r>
        <w:t xml:space="preserve">In examining predicted counts and probabilities, it becomes apparent that the single parameters reported in </w:t>
      </w:r>
      <w:proofErr w:type="spellStart"/>
      <w:r>
        <w:t>GzLMs</w:t>
      </w:r>
      <w:proofErr w:type="spellEnd"/>
      <w:r>
        <w:t xml:space="preserve"> do not map onto relationships between predictors and outcomes as readily as they seem to. </w:t>
      </w:r>
    </w:p>
    <w:p w:rsidR="00972222" w:rsidRDefault="00832DCC" w:rsidP="008B70A6">
      <w:pPr>
        <w:pStyle w:val="ListParagraph"/>
        <w:numPr>
          <w:ilvl w:val="1"/>
          <w:numId w:val="1"/>
        </w:numPr>
      </w:pPr>
      <w:r>
        <w:t xml:space="preserve">In fact, further analysis of these </w:t>
      </w:r>
      <w:bookmarkStart w:id="0" w:name="_GoBack"/>
      <w:bookmarkEnd w:id="0"/>
      <w:r>
        <w:t xml:space="preserve">parameters reveals that even their transformed versions, such as odds ratios and rate ratios, </w:t>
      </w:r>
      <w:r w:rsidR="008C2203">
        <w:t>a) do not represent constant first differences, and b) do not represent effects that are conditionally independent from one another, as in OLS linear regression.</w:t>
      </w:r>
      <w:r w:rsidR="008B70A6">
        <w:t xml:space="preserve"> </w:t>
      </w:r>
    </w:p>
    <w:p w:rsidR="008B70A6" w:rsidRDefault="008B70A6" w:rsidP="008B70A6">
      <w:pPr>
        <w:pStyle w:val="ListParagraph"/>
        <w:numPr>
          <w:ilvl w:val="1"/>
          <w:numId w:val="1"/>
        </w:numPr>
      </w:pPr>
      <w:r>
        <w:t xml:space="preserve">To show that these two properties hold for binary outcome and count models, we present a simulated-data example with two predictors for each model below. </w:t>
      </w:r>
    </w:p>
    <w:p w:rsidR="005B121F" w:rsidRDefault="005B121F" w:rsidP="00673443">
      <w:pPr>
        <w:ind w:left="720"/>
        <w:rPr>
          <w:b/>
        </w:rPr>
      </w:pPr>
      <w:r>
        <w:rPr>
          <w:b/>
        </w:rPr>
        <w:t>Binary Outcome Models</w:t>
      </w:r>
    </w:p>
    <w:p w:rsidR="005B121F" w:rsidRDefault="005B121F" w:rsidP="00673443">
      <w:pPr>
        <w:ind w:left="720"/>
      </w:pPr>
      <w:r>
        <w:t>Logistic Regression</w:t>
      </w:r>
    </w:p>
    <w:p w:rsidR="005B121F" w:rsidRDefault="005B121F" w:rsidP="00673443">
      <w:pPr>
        <w:ind w:left="720" w:firstLine="720"/>
      </w:pPr>
      <w:r>
        <w:t>[Math showing effect of X</w:t>
      </w:r>
      <w:r w:rsidRPr="005B121F">
        <w:rPr>
          <w:vertAlign w:val="subscript"/>
        </w:rPr>
        <w:t>1</w:t>
      </w:r>
      <w:r>
        <w:t xml:space="preserve"> is not independent of level of X</w:t>
      </w:r>
      <w:r w:rsidRPr="005B121F">
        <w:rPr>
          <w:vertAlign w:val="subscript"/>
        </w:rPr>
        <w:t>2</w:t>
      </w:r>
      <w:r>
        <w:t>]</w:t>
      </w:r>
    </w:p>
    <w:p w:rsidR="005B121F" w:rsidRPr="005B121F" w:rsidRDefault="005B121F" w:rsidP="005B121F">
      <w:r>
        <w:rPr>
          <w:noProof/>
        </w:rPr>
        <w:drawing>
          <wp:inline distT="0" distB="0" distL="0" distR="0" wp14:anchorId="62F10723" wp14:editId="3F708E86">
            <wp:extent cx="5943600" cy="248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4755"/>
                    </a:xfrm>
                    <a:prstGeom prst="rect">
                      <a:avLst/>
                    </a:prstGeom>
                  </pic:spPr>
                </pic:pic>
              </a:graphicData>
            </a:graphic>
          </wp:inline>
        </w:drawing>
      </w:r>
    </w:p>
    <w:p w:rsidR="005B121F" w:rsidRDefault="005B121F" w:rsidP="00E0028E">
      <w:pPr>
        <w:ind w:left="720"/>
        <w:rPr>
          <w:b/>
        </w:rPr>
      </w:pPr>
      <w:r>
        <w:rPr>
          <w:b/>
        </w:rPr>
        <w:t>Count Models</w:t>
      </w:r>
    </w:p>
    <w:p w:rsidR="005B121F" w:rsidRDefault="005B121F" w:rsidP="00E0028E">
      <w:pPr>
        <w:ind w:left="720"/>
      </w:pPr>
      <w:r>
        <w:t xml:space="preserve">Poisson Regression </w:t>
      </w:r>
    </w:p>
    <w:p w:rsidR="005B121F" w:rsidRDefault="005B121F" w:rsidP="00E0028E">
      <w:pPr>
        <w:ind w:left="720" w:firstLine="720"/>
      </w:pPr>
      <w:r>
        <w:lastRenderedPageBreak/>
        <w:t>[Math showing effect of X</w:t>
      </w:r>
      <w:r w:rsidRPr="005B121F">
        <w:rPr>
          <w:vertAlign w:val="subscript"/>
        </w:rPr>
        <w:t>1</w:t>
      </w:r>
      <w:r>
        <w:t xml:space="preserve"> is not independent of level of X</w:t>
      </w:r>
      <w:r w:rsidRPr="005B121F">
        <w:rPr>
          <w:vertAlign w:val="subscript"/>
        </w:rPr>
        <w:t>2</w:t>
      </w:r>
      <w:r>
        <w:t>]</w:t>
      </w:r>
    </w:p>
    <w:p w:rsidR="005B121F" w:rsidRDefault="005B121F" w:rsidP="005B121F">
      <w:r>
        <w:rPr>
          <w:noProof/>
        </w:rPr>
        <w:drawing>
          <wp:inline distT="0" distB="0" distL="0" distR="0" wp14:anchorId="1C2AE161" wp14:editId="5D959B65">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4755"/>
                    </a:xfrm>
                    <a:prstGeom prst="rect">
                      <a:avLst/>
                    </a:prstGeom>
                  </pic:spPr>
                </pic:pic>
              </a:graphicData>
            </a:graphic>
          </wp:inline>
        </w:drawing>
      </w:r>
    </w:p>
    <w:p w:rsidR="00D37F75" w:rsidRDefault="005B121F" w:rsidP="00E0028E">
      <w:pPr>
        <w:ind w:left="720"/>
      </w:pPr>
      <w:r>
        <w:t>Negative Binomial Regression</w:t>
      </w:r>
    </w:p>
    <w:p w:rsidR="005B121F" w:rsidRDefault="005B121F" w:rsidP="00E0028E">
      <w:pPr>
        <w:ind w:left="1440"/>
      </w:pPr>
      <w:r>
        <w:t>[Math showing effect of X</w:t>
      </w:r>
      <w:r w:rsidRPr="005B121F">
        <w:rPr>
          <w:vertAlign w:val="subscript"/>
        </w:rPr>
        <w:t>1</w:t>
      </w:r>
      <w:r>
        <w:t xml:space="preserve"> is not independent of level of X</w:t>
      </w:r>
      <w:r w:rsidRPr="005B121F">
        <w:rPr>
          <w:vertAlign w:val="subscript"/>
        </w:rPr>
        <w:t>2</w:t>
      </w:r>
      <w:r>
        <w:t>]</w:t>
      </w:r>
    </w:p>
    <w:p w:rsidR="005B121F" w:rsidRDefault="005B121F" w:rsidP="00E0028E">
      <w:pPr>
        <w:ind w:left="720"/>
      </w:pPr>
      <w:r>
        <w:t>Zero-inflated Models</w:t>
      </w:r>
    </w:p>
    <w:p w:rsidR="005B121F" w:rsidRDefault="005B121F" w:rsidP="00E0028E">
      <w:pPr>
        <w:ind w:left="1440"/>
      </w:pPr>
      <w:r>
        <w:t>[Math showing effect of X</w:t>
      </w:r>
      <w:r w:rsidRPr="005B121F">
        <w:rPr>
          <w:vertAlign w:val="subscript"/>
        </w:rPr>
        <w:t>1</w:t>
      </w:r>
      <w:r>
        <w:t xml:space="preserve"> is not independent of level of X</w:t>
      </w:r>
      <w:r w:rsidRPr="005B121F">
        <w:rPr>
          <w:vertAlign w:val="subscript"/>
        </w:rPr>
        <w:t>2</w:t>
      </w:r>
      <w:r>
        <w:t>]</w:t>
      </w:r>
    </w:p>
    <w:p w:rsidR="005B121F" w:rsidRDefault="005B121F" w:rsidP="00E0028E">
      <w:pPr>
        <w:ind w:left="720"/>
      </w:pPr>
      <w:r>
        <w:t>Hurdle Models</w:t>
      </w:r>
    </w:p>
    <w:p w:rsidR="005B121F" w:rsidRDefault="005B121F" w:rsidP="00E0028E">
      <w:pPr>
        <w:ind w:left="1440"/>
      </w:pPr>
      <w:r>
        <w:t>[Math showing effect of X</w:t>
      </w:r>
      <w:r w:rsidRPr="005B121F">
        <w:rPr>
          <w:vertAlign w:val="subscript"/>
        </w:rPr>
        <w:t>1</w:t>
      </w:r>
      <w:r>
        <w:t xml:space="preserve"> is not independent of level of X</w:t>
      </w:r>
      <w:r w:rsidRPr="005B121F">
        <w:rPr>
          <w:vertAlign w:val="subscript"/>
        </w:rPr>
        <w:t>2</w:t>
      </w:r>
      <w:r>
        <w:t>]</w:t>
      </w:r>
    </w:p>
    <w:p w:rsidR="008C2203" w:rsidRDefault="008C2203" w:rsidP="008C2203">
      <w:pPr>
        <w:pStyle w:val="ListParagraph"/>
        <w:numPr>
          <w:ilvl w:val="0"/>
          <w:numId w:val="1"/>
        </w:numPr>
      </w:pPr>
      <w:r>
        <w:t xml:space="preserve">When presenting results, is important to recall that the choice of covariate levels chosen as 0 values can influence the interpretation of results to </w:t>
      </w:r>
      <w:proofErr w:type="gramStart"/>
      <w:r>
        <w:t>the majority of</w:t>
      </w:r>
      <w:proofErr w:type="gramEnd"/>
      <w:r>
        <w:t xml:space="preserve"> readers, who do not have time to probe a model fully. </w:t>
      </w:r>
    </w:p>
    <w:p w:rsidR="008C2203" w:rsidRDefault="008C2203" w:rsidP="008C2203">
      <w:pPr>
        <w:pStyle w:val="ListParagraph"/>
        <w:numPr>
          <w:ilvl w:val="1"/>
          <w:numId w:val="1"/>
        </w:numPr>
      </w:pPr>
      <w:r>
        <w:t>We propose that research producers should choose their covariate values thoughtfully.</w:t>
      </w:r>
    </w:p>
    <w:p w:rsidR="008C2203" w:rsidRDefault="008C2203" w:rsidP="008C2203">
      <w:pPr>
        <w:pStyle w:val="ListParagraph"/>
        <w:numPr>
          <w:ilvl w:val="1"/>
          <w:numId w:val="1"/>
        </w:numPr>
      </w:pPr>
      <w:proofErr w:type="gramStart"/>
      <w:r>
        <w:t>In order to</w:t>
      </w:r>
      <w:proofErr w:type="gramEnd"/>
      <w:r>
        <w:t xml:space="preserve"> characterize an effect accurately, researchers may have to probe an effect at multiple covariate levels, even when no interactions are included in the model.</w:t>
      </w:r>
    </w:p>
    <w:p w:rsidR="00FD5D8A" w:rsidRDefault="00972222" w:rsidP="00FD5D8A">
      <w:pPr>
        <w:rPr>
          <w:b/>
          <w:i/>
        </w:rPr>
      </w:pPr>
      <w:r>
        <w:rPr>
          <w:b/>
          <w:i/>
        </w:rPr>
        <w:t xml:space="preserve">Recommendations for presentation of </w:t>
      </w:r>
      <w:r w:rsidR="00D069B7">
        <w:rPr>
          <w:b/>
          <w:i/>
        </w:rPr>
        <w:t>models</w:t>
      </w:r>
      <w:r>
        <w:rPr>
          <w:b/>
          <w:i/>
        </w:rPr>
        <w:t xml:space="preserve">: </w:t>
      </w:r>
      <w:r w:rsidR="005B121F">
        <w:rPr>
          <w:b/>
          <w:i/>
        </w:rPr>
        <w:t>tables and graphics</w:t>
      </w:r>
    </w:p>
    <w:p w:rsidR="005B121F" w:rsidRDefault="005B121F" w:rsidP="00FD5D8A">
      <w:pPr>
        <w:rPr>
          <w:b/>
        </w:rPr>
      </w:pPr>
      <w:r>
        <w:rPr>
          <w:b/>
        </w:rPr>
        <w:t xml:space="preserve">Binary Outcome </w:t>
      </w:r>
      <w:r w:rsidRPr="005B121F">
        <w:rPr>
          <w:b/>
        </w:rPr>
        <w:t>Data</w:t>
      </w:r>
    </w:p>
    <w:p w:rsidR="005B121F" w:rsidRDefault="005B121F" w:rsidP="00FD5D8A">
      <w:r>
        <w:rPr>
          <w:b/>
        </w:rPr>
        <w:tab/>
      </w:r>
      <w:r>
        <w:t xml:space="preserve">Table of first differences </w:t>
      </w:r>
      <w:r>
        <w:rPr>
          <w:i/>
        </w:rPr>
        <w:t xml:space="preserve">with </w:t>
      </w:r>
      <w:r>
        <w:t>covariate values made explicit</w:t>
      </w:r>
    </w:p>
    <w:p w:rsidR="005B121F" w:rsidRDefault="005B121F" w:rsidP="00DF5ED7">
      <w:pPr>
        <w:tabs>
          <w:tab w:val="left" w:pos="720"/>
          <w:tab w:val="left" w:pos="1440"/>
          <w:tab w:val="left" w:pos="2160"/>
          <w:tab w:val="left" w:pos="2880"/>
          <w:tab w:val="left" w:pos="3600"/>
          <w:tab w:val="left" w:pos="4320"/>
          <w:tab w:val="left" w:pos="5040"/>
          <w:tab w:val="left" w:pos="5760"/>
          <w:tab w:val="left" w:pos="6235"/>
        </w:tabs>
      </w:pPr>
      <w:r>
        <w:tab/>
        <w:t>Graphic of first differences for some X</w:t>
      </w:r>
      <w:r>
        <w:rPr>
          <w:vertAlign w:val="subscript"/>
        </w:rPr>
        <w:t xml:space="preserve">1 </w:t>
      </w:r>
      <w:r>
        <w:t>and X</w:t>
      </w:r>
      <w:r>
        <w:rPr>
          <w:vertAlign w:val="subscript"/>
        </w:rPr>
        <w:t>2</w:t>
      </w:r>
      <w:r>
        <w:t xml:space="preserve"> of interest</w:t>
      </w:r>
      <w:r w:rsidR="00DF5ED7">
        <w:tab/>
      </w:r>
    </w:p>
    <w:p w:rsidR="00DF5ED7" w:rsidRDefault="00DF5ED7" w:rsidP="00DF5ED7">
      <w:pPr>
        <w:tabs>
          <w:tab w:val="left" w:pos="720"/>
          <w:tab w:val="left" w:pos="1440"/>
          <w:tab w:val="left" w:pos="2160"/>
          <w:tab w:val="left" w:pos="2880"/>
          <w:tab w:val="left" w:pos="3600"/>
          <w:tab w:val="left" w:pos="4320"/>
          <w:tab w:val="left" w:pos="5040"/>
          <w:tab w:val="left" w:pos="5760"/>
          <w:tab w:val="left" w:pos="6235"/>
        </w:tabs>
      </w:pPr>
      <w:r>
        <w:tab/>
      </w:r>
      <w:r>
        <w:tab/>
        <w:t>Real data example???</w:t>
      </w:r>
    </w:p>
    <w:p w:rsidR="00E0028E" w:rsidRPr="005B121F" w:rsidRDefault="00E0028E" w:rsidP="00DF5ED7">
      <w:pPr>
        <w:tabs>
          <w:tab w:val="left" w:pos="720"/>
          <w:tab w:val="left" w:pos="1440"/>
          <w:tab w:val="left" w:pos="2160"/>
          <w:tab w:val="left" w:pos="2880"/>
          <w:tab w:val="left" w:pos="3600"/>
          <w:tab w:val="left" w:pos="4320"/>
          <w:tab w:val="left" w:pos="5040"/>
          <w:tab w:val="left" w:pos="5760"/>
          <w:tab w:val="left" w:pos="6235"/>
        </w:tabs>
      </w:pPr>
      <w:r>
        <w:tab/>
      </w:r>
      <w:r>
        <w:tab/>
        <w:t xml:space="preserve">Show graphs from </w:t>
      </w:r>
      <w:proofErr w:type="spellStart"/>
      <w:r>
        <w:t>InterActive</w:t>
      </w:r>
      <w:proofErr w:type="spellEnd"/>
      <w:r>
        <w:t>? With uncertainty.</w:t>
      </w:r>
    </w:p>
    <w:p w:rsidR="005B121F" w:rsidRPr="005B121F" w:rsidRDefault="005B121F" w:rsidP="00FD5D8A">
      <w:pPr>
        <w:rPr>
          <w:b/>
        </w:rPr>
      </w:pPr>
      <w:r w:rsidRPr="005B121F">
        <w:rPr>
          <w:b/>
        </w:rPr>
        <w:t>Count Data</w:t>
      </w:r>
    </w:p>
    <w:p w:rsidR="005B121F" w:rsidRDefault="005B121F" w:rsidP="005B121F">
      <w:r>
        <w:rPr>
          <w:b/>
        </w:rPr>
        <w:tab/>
      </w:r>
      <w:r>
        <w:t xml:space="preserve">Table of first differences </w:t>
      </w:r>
      <w:r>
        <w:rPr>
          <w:i/>
        </w:rPr>
        <w:t xml:space="preserve">with </w:t>
      </w:r>
      <w:r>
        <w:t>covariate values made explicit</w:t>
      </w:r>
    </w:p>
    <w:p w:rsidR="005B121F" w:rsidRDefault="005B121F" w:rsidP="00FD5D8A">
      <w:r>
        <w:lastRenderedPageBreak/>
        <w:tab/>
        <w:t>Graphic of first differences for some X</w:t>
      </w:r>
      <w:r>
        <w:rPr>
          <w:vertAlign w:val="subscript"/>
        </w:rPr>
        <w:t xml:space="preserve">1 </w:t>
      </w:r>
      <w:r>
        <w:t>and X</w:t>
      </w:r>
      <w:r>
        <w:rPr>
          <w:vertAlign w:val="subscript"/>
        </w:rPr>
        <w:t>2</w:t>
      </w:r>
      <w:r>
        <w:t xml:space="preserve"> of interest</w:t>
      </w:r>
    </w:p>
    <w:p w:rsidR="00960D2B" w:rsidRDefault="005B121F" w:rsidP="00FD5D8A">
      <w:r>
        <w:tab/>
      </w:r>
      <w:r w:rsidR="00DF5ED7">
        <w:tab/>
        <w:t>Real data example???</w:t>
      </w:r>
    </w:p>
    <w:p w:rsidR="000C068E" w:rsidRDefault="000C068E" w:rsidP="00FD5D8A"/>
    <w:p w:rsidR="000C068E" w:rsidRPr="000C068E" w:rsidRDefault="000C068E" w:rsidP="000C068E">
      <w:pPr>
        <w:rPr>
          <w:rFonts w:ascii="Times New Roman" w:hAnsi="Times New Roman" w:cs="Times New Roman"/>
          <w:color w:val="222222"/>
          <w:sz w:val="24"/>
          <w:szCs w:val="24"/>
          <w:shd w:val="clear" w:color="auto" w:fill="FFFFFF"/>
        </w:rPr>
      </w:pPr>
      <w:bookmarkStart w:id="1" w:name="_Hlk522194164"/>
      <w:r w:rsidRPr="000C068E">
        <w:rPr>
          <w:rFonts w:ascii="Times New Roman" w:hAnsi="Times New Roman" w:cs="Times New Roman"/>
          <w:sz w:val="24"/>
          <w:szCs w:val="24"/>
          <w:vertAlign w:val="superscript"/>
        </w:rPr>
        <w:t>1</w:t>
      </w:r>
      <w:r w:rsidRPr="000C068E">
        <w:rPr>
          <w:rFonts w:ascii="Times New Roman" w:hAnsi="Times New Roman" w:cs="Times New Roman"/>
          <w:color w:val="222222"/>
          <w:sz w:val="24"/>
          <w:szCs w:val="24"/>
          <w:shd w:val="clear" w:color="auto" w:fill="FFFFFF"/>
        </w:rPr>
        <w:t xml:space="preserve"> Ai, C., &amp; Norton, E. C. (2003). Interaction terms in logit and </w:t>
      </w:r>
      <w:proofErr w:type="spellStart"/>
      <w:r w:rsidRPr="000C068E">
        <w:rPr>
          <w:rFonts w:ascii="Times New Roman" w:hAnsi="Times New Roman" w:cs="Times New Roman"/>
          <w:color w:val="222222"/>
          <w:sz w:val="24"/>
          <w:szCs w:val="24"/>
          <w:shd w:val="clear" w:color="auto" w:fill="FFFFFF"/>
        </w:rPr>
        <w:t>probit</w:t>
      </w:r>
      <w:proofErr w:type="spellEnd"/>
      <w:r w:rsidRPr="000C068E">
        <w:rPr>
          <w:rFonts w:ascii="Times New Roman" w:hAnsi="Times New Roman" w:cs="Times New Roman"/>
          <w:color w:val="222222"/>
          <w:sz w:val="24"/>
          <w:szCs w:val="24"/>
          <w:shd w:val="clear" w:color="auto" w:fill="FFFFFF"/>
        </w:rPr>
        <w:t xml:space="preserve"> models. </w:t>
      </w:r>
      <w:r w:rsidRPr="000C068E">
        <w:rPr>
          <w:rFonts w:ascii="Times New Roman" w:hAnsi="Times New Roman" w:cs="Times New Roman"/>
          <w:i/>
          <w:iCs/>
          <w:color w:val="222222"/>
          <w:sz w:val="24"/>
          <w:szCs w:val="24"/>
          <w:shd w:val="clear" w:color="auto" w:fill="FFFFFF"/>
        </w:rPr>
        <w:t>Economics letters</w:t>
      </w:r>
      <w:r w:rsidRPr="000C068E">
        <w:rPr>
          <w:rFonts w:ascii="Times New Roman" w:hAnsi="Times New Roman" w:cs="Times New Roman"/>
          <w:color w:val="222222"/>
          <w:sz w:val="24"/>
          <w:szCs w:val="24"/>
          <w:shd w:val="clear" w:color="auto" w:fill="FFFFFF"/>
        </w:rPr>
        <w:t>, </w:t>
      </w:r>
      <w:r w:rsidRPr="000C068E">
        <w:rPr>
          <w:rFonts w:ascii="Times New Roman" w:hAnsi="Times New Roman" w:cs="Times New Roman"/>
          <w:i/>
          <w:iCs/>
          <w:color w:val="222222"/>
          <w:sz w:val="24"/>
          <w:szCs w:val="24"/>
          <w:shd w:val="clear" w:color="auto" w:fill="FFFFFF"/>
        </w:rPr>
        <w:t>80</w:t>
      </w:r>
      <w:r w:rsidRPr="000C068E">
        <w:rPr>
          <w:rFonts w:ascii="Times New Roman" w:hAnsi="Times New Roman" w:cs="Times New Roman"/>
          <w:color w:val="222222"/>
          <w:sz w:val="24"/>
          <w:szCs w:val="24"/>
          <w:shd w:val="clear" w:color="auto" w:fill="FFFFFF"/>
        </w:rPr>
        <w:t>(1), 123-129.</w:t>
      </w:r>
    </w:p>
    <w:p w:rsidR="000C068E" w:rsidRPr="000C068E" w:rsidRDefault="000C068E" w:rsidP="000C068E">
      <w:pPr>
        <w:rPr>
          <w:rFonts w:ascii="Times New Roman" w:hAnsi="Times New Roman" w:cs="Times New Roman"/>
          <w:color w:val="222222"/>
          <w:sz w:val="24"/>
          <w:szCs w:val="24"/>
          <w:shd w:val="clear" w:color="auto" w:fill="FFFFFF"/>
        </w:rPr>
      </w:pPr>
      <w:r w:rsidRPr="000C068E">
        <w:rPr>
          <w:rFonts w:ascii="Times New Roman" w:hAnsi="Times New Roman" w:cs="Times New Roman"/>
          <w:sz w:val="24"/>
          <w:szCs w:val="24"/>
          <w:vertAlign w:val="superscript"/>
        </w:rPr>
        <w:t>2</w:t>
      </w:r>
      <w:r w:rsidRPr="000C068E">
        <w:rPr>
          <w:rFonts w:ascii="Times New Roman" w:hAnsi="Times New Roman" w:cs="Times New Roman"/>
          <w:color w:val="222222"/>
          <w:sz w:val="24"/>
          <w:szCs w:val="24"/>
          <w:shd w:val="clear" w:color="auto" w:fill="FFFFFF"/>
        </w:rPr>
        <w:t xml:space="preserve"> King, G., </w:t>
      </w:r>
      <w:proofErr w:type="spellStart"/>
      <w:r w:rsidRPr="000C068E">
        <w:rPr>
          <w:rFonts w:ascii="Times New Roman" w:hAnsi="Times New Roman" w:cs="Times New Roman"/>
          <w:color w:val="222222"/>
          <w:sz w:val="24"/>
          <w:szCs w:val="24"/>
          <w:shd w:val="clear" w:color="auto" w:fill="FFFFFF"/>
        </w:rPr>
        <w:t>Tomz</w:t>
      </w:r>
      <w:proofErr w:type="spellEnd"/>
      <w:r w:rsidRPr="000C068E">
        <w:rPr>
          <w:rFonts w:ascii="Times New Roman" w:hAnsi="Times New Roman" w:cs="Times New Roman"/>
          <w:color w:val="222222"/>
          <w:sz w:val="24"/>
          <w:szCs w:val="24"/>
          <w:shd w:val="clear" w:color="auto" w:fill="FFFFFF"/>
        </w:rPr>
        <w:t>, M., &amp; Wittenberg, J. (2000). Making the most of statistical analyses: Improving interpretation and presentation. </w:t>
      </w:r>
      <w:r w:rsidRPr="000C068E">
        <w:rPr>
          <w:rFonts w:ascii="Times New Roman" w:hAnsi="Times New Roman" w:cs="Times New Roman"/>
          <w:i/>
          <w:iCs/>
          <w:color w:val="222222"/>
          <w:sz w:val="24"/>
          <w:szCs w:val="24"/>
          <w:shd w:val="clear" w:color="auto" w:fill="FFFFFF"/>
        </w:rPr>
        <w:t>American journal of political science</w:t>
      </w:r>
      <w:r w:rsidRPr="000C068E">
        <w:rPr>
          <w:rFonts w:ascii="Times New Roman" w:hAnsi="Times New Roman" w:cs="Times New Roman"/>
          <w:color w:val="222222"/>
          <w:sz w:val="24"/>
          <w:szCs w:val="24"/>
          <w:shd w:val="clear" w:color="auto" w:fill="FFFFFF"/>
        </w:rPr>
        <w:t>, 347-361.</w:t>
      </w:r>
    </w:p>
    <w:p w:rsidR="000C068E" w:rsidRPr="000C068E" w:rsidRDefault="000C068E" w:rsidP="000C068E">
      <w:pPr>
        <w:rPr>
          <w:rFonts w:ascii="Times New Roman" w:hAnsi="Times New Roman" w:cs="Times New Roman"/>
          <w:sz w:val="24"/>
          <w:szCs w:val="24"/>
        </w:rPr>
      </w:pPr>
      <w:r w:rsidRPr="000C068E">
        <w:rPr>
          <w:rFonts w:ascii="Times New Roman" w:hAnsi="Times New Roman" w:cs="Times New Roman"/>
          <w:color w:val="222222"/>
          <w:sz w:val="24"/>
          <w:szCs w:val="24"/>
          <w:shd w:val="clear" w:color="auto" w:fill="FFFFFF"/>
          <w:vertAlign w:val="superscript"/>
        </w:rPr>
        <w:t>3</w:t>
      </w:r>
      <w:r w:rsidRPr="000C068E">
        <w:rPr>
          <w:rFonts w:ascii="Times New Roman" w:hAnsi="Times New Roman" w:cs="Times New Roman"/>
          <w:color w:val="222222"/>
          <w:sz w:val="24"/>
          <w:szCs w:val="24"/>
          <w:shd w:val="clear" w:color="auto" w:fill="FFFFFF"/>
        </w:rPr>
        <w:t>McCabe, C. J., Kim, D. S., &amp; King, K. M. (2018). Improving Present Practices in the Visual Display of Interactions. </w:t>
      </w:r>
      <w:r w:rsidRPr="000C068E">
        <w:rPr>
          <w:rFonts w:ascii="Times New Roman" w:hAnsi="Times New Roman" w:cs="Times New Roman"/>
          <w:i/>
          <w:iCs/>
          <w:color w:val="222222"/>
          <w:sz w:val="24"/>
          <w:szCs w:val="24"/>
          <w:shd w:val="clear" w:color="auto" w:fill="FFFFFF"/>
        </w:rPr>
        <w:t>Advances in Methods and Practices in Psychological Science</w:t>
      </w:r>
      <w:r w:rsidRPr="000C068E">
        <w:rPr>
          <w:rFonts w:ascii="Times New Roman" w:hAnsi="Times New Roman" w:cs="Times New Roman"/>
          <w:color w:val="222222"/>
          <w:sz w:val="24"/>
          <w:szCs w:val="24"/>
          <w:shd w:val="clear" w:color="auto" w:fill="FFFFFF"/>
        </w:rPr>
        <w:t>, 2515245917746792.</w:t>
      </w:r>
    </w:p>
    <w:bookmarkEnd w:id="1"/>
    <w:p w:rsidR="000C068E" w:rsidRDefault="000C068E" w:rsidP="00FD5D8A"/>
    <w:sectPr w:rsidR="000C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C24DB"/>
    <w:multiLevelType w:val="hybridMultilevel"/>
    <w:tmpl w:val="248694C2"/>
    <w:lvl w:ilvl="0" w:tplc="9DDED6D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CC"/>
    <w:rsid w:val="000C068E"/>
    <w:rsid w:val="001537F6"/>
    <w:rsid w:val="0017335B"/>
    <w:rsid w:val="004864FD"/>
    <w:rsid w:val="005B121F"/>
    <w:rsid w:val="006065A4"/>
    <w:rsid w:val="00673443"/>
    <w:rsid w:val="00754C0D"/>
    <w:rsid w:val="00762B9C"/>
    <w:rsid w:val="007F14F7"/>
    <w:rsid w:val="00832DCC"/>
    <w:rsid w:val="008B70A6"/>
    <w:rsid w:val="008C2203"/>
    <w:rsid w:val="00960D2B"/>
    <w:rsid w:val="00972222"/>
    <w:rsid w:val="00CC56B2"/>
    <w:rsid w:val="00D069B7"/>
    <w:rsid w:val="00D37F75"/>
    <w:rsid w:val="00DE1583"/>
    <w:rsid w:val="00DF5ED7"/>
    <w:rsid w:val="00E0028E"/>
    <w:rsid w:val="00ED3378"/>
    <w:rsid w:val="00F95970"/>
    <w:rsid w:val="00FD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F828"/>
  <w15:chartTrackingRefBased/>
  <w15:docId w15:val="{0A68E593-7414-446C-89E5-E0D1A003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EA40-E309-4317-BB03-6EE84656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Halvorson</dc:creator>
  <cp:keywords/>
  <dc:description/>
  <cp:lastModifiedBy>Max Halvorson</cp:lastModifiedBy>
  <cp:revision>12</cp:revision>
  <dcterms:created xsi:type="dcterms:W3CDTF">2018-08-09T18:25:00Z</dcterms:created>
  <dcterms:modified xsi:type="dcterms:W3CDTF">2018-08-16T22:00:00Z</dcterms:modified>
</cp:coreProperties>
</file>