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t>binges</w:t>
      </w:r>
    </w:p>
    <w:p w:rsidR="008E3F2B" w:rsidRDefault="008E3F2B" w:rsidP="008E3F2B">
      <w:pPr>
        <w:spacing w:after="0"/>
      </w:pPr>
      <w:r>
        <w:tab/>
      </w:r>
      <w:r>
        <w:tab/>
      </w:r>
      <w:r>
        <w:tab/>
        <w:t>past month drinking days (M4ALC1)</w:t>
      </w:r>
    </w:p>
    <w:p w:rsidR="008E3F2B" w:rsidRPr="008E3F2B" w:rsidRDefault="008E3F2B" w:rsidP="008E3F2B">
      <w:pPr>
        <w:spacing w:after="0"/>
        <w:rPr>
          <w:b/>
        </w:rPr>
      </w:pPr>
      <w:r>
        <w:tab/>
      </w:r>
      <w:r>
        <w:tab/>
      </w:r>
      <w:r w:rsidRPr="008E3F2B">
        <w:rPr>
          <w:b/>
        </w:rPr>
        <w:tab/>
        <w:t>count of negative consequences &lt;--&gt; gender, pre, ss, purg</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ss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t>purg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Max will start working on getting results into InterActive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That main effects of (positive urgency) are influenced by levels of other covariates (CAT gender, CONT ss)</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t>go back to jeremy's and kevin's 2012 paper</w:t>
      </w:r>
    </w:p>
    <w:p w:rsidR="00230986" w:rsidRDefault="00230986" w:rsidP="00230986">
      <w:pPr>
        <w:spacing w:after="0"/>
        <w:ind w:left="1440"/>
      </w:pPr>
      <w:r>
        <w:tab/>
        <w:t>predicting alcohol consequences…</w:t>
      </w:r>
    </w:p>
    <w:p w:rsidR="00230986" w:rsidRDefault="00230986" w:rsidP="00230986">
      <w:pPr>
        <w:spacing w:after="0"/>
      </w:pPr>
      <w:r>
        <w:tab/>
      </w:r>
      <w:r>
        <w:tab/>
      </w:r>
      <w:r>
        <w:tab/>
        <w:t>use quantity/frequency of alcohol use as a covariate</w:t>
      </w:r>
    </w:p>
    <w:p w:rsidR="00230986" w:rsidRDefault="00230986" w:rsidP="00230986">
      <w:pPr>
        <w:spacing w:after="0"/>
      </w:pPr>
      <w:r>
        <w:tab/>
      </w:r>
      <w:r>
        <w:tab/>
        <w:t>for logit portion...</w:t>
      </w:r>
    </w:p>
    <w:p w:rsidR="00230986" w:rsidRDefault="00230986" w:rsidP="00230986">
      <w:pPr>
        <w:spacing w:after="0"/>
      </w:pPr>
      <w:r>
        <w:tab/>
      </w:r>
      <w:r>
        <w:tab/>
      </w:r>
      <w:r>
        <w:tab/>
        <w:t>alcohol use and alcohol consequences are very related</w:t>
      </w:r>
    </w:p>
    <w:p w:rsidR="00230986" w:rsidRDefault="00230986" w:rsidP="00230986">
      <w:pPr>
        <w:spacing w:after="0"/>
      </w:pPr>
      <w:r>
        <w:tab/>
      </w:r>
      <w:r>
        <w:tab/>
      </w:r>
      <w:r>
        <w:tab/>
      </w:r>
      <w:r>
        <w:tab/>
        <w:t>we should see a ceiling effect for heavier drinkers</w:t>
      </w:r>
      <w:r w:rsidR="008F4C7F">
        <w:t xml:space="preserve"> (flat line)</w:t>
      </w:r>
    </w:p>
    <w:p w:rsidR="00230986" w:rsidRDefault="00230986" w:rsidP="00230986">
      <w:pPr>
        <w:spacing w:after="0"/>
      </w:pPr>
      <w:r>
        <w:tab/>
      </w:r>
      <w:r>
        <w:tab/>
      </w:r>
      <w:r>
        <w:tab/>
        <w:t>but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t>within nonlinear models</w:t>
      </w:r>
    </w:p>
    <w:p w:rsidR="00230986" w:rsidRDefault="00230986" w:rsidP="00230986">
      <w:pPr>
        <w:spacing w:after="0"/>
        <w:ind w:left="1440"/>
      </w:pPr>
      <w:r>
        <w:tab/>
        <w:t>every effect in substantive space depends on all the covariates</w:t>
      </w:r>
    </w:p>
    <w:p w:rsidR="00230986" w:rsidRDefault="00230986" w:rsidP="00230986">
      <w:pPr>
        <w:spacing w:after="0"/>
        <w:ind w:left="1440"/>
      </w:pPr>
      <w:r>
        <w:tab/>
        <w:t>we cannot translate intuition from ols</w:t>
      </w:r>
    </w:p>
    <w:p w:rsidR="00230986" w:rsidRDefault="00476B7B" w:rsidP="00230986">
      <w:pPr>
        <w:spacing w:after="0"/>
        <w:ind w:left="1440"/>
      </w:pPr>
      <w:r>
        <w:t>Weave into intro or discussion.</w:t>
      </w:r>
    </w:p>
    <w:p w:rsidR="00230986" w:rsidRDefault="00230986" w:rsidP="00230986">
      <w:pPr>
        <w:spacing w:after="0"/>
        <w:ind w:left="2160"/>
      </w:pPr>
      <w:r>
        <w:t>we are making strong statements about the data generating process by selecting between these models</w:t>
      </w:r>
    </w:p>
    <w:p w:rsidR="00230986" w:rsidRDefault="00230986" w:rsidP="00230986">
      <w:pPr>
        <w:spacing w:after="0"/>
        <w:ind w:left="1440"/>
      </w:pPr>
      <w:r>
        <w:tab/>
        <w:t>not always a clear cut direction for how to choose between models</w:t>
      </w:r>
    </w:p>
    <w:p w:rsidR="00230986" w:rsidRDefault="00230986" w:rsidP="00230986">
      <w:pPr>
        <w:spacing w:after="0"/>
        <w:ind w:left="1440"/>
      </w:pPr>
      <w:r>
        <w:tab/>
        <w:t>distinction will become clear between the two models if you plot it</w:t>
      </w:r>
    </w:p>
    <w:p w:rsidR="00230986" w:rsidRDefault="00230986" w:rsidP="00230986">
      <w:pPr>
        <w:spacing w:after="0"/>
        <w:ind w:left="1440"/>
      </w:pPr>
      <w:r>
        <w:tab/>
        <w:t>estimates will be the same, ci's will not</w:t>
      </w:r>
    </w:p>
    <w:p w:rsidR="00230986" w:rsidRDefault="00230986" w:rsidP="00230986">
      <w:pPr>
        <w:spacing w:after="0"/>
        <w:ind w:left="1440"/>
      </w:pPr>
      <w:r>
        <w:t>Things to avoid</w:t>
      </w:r>
    </w:p>
    <w:p w:rsidR="00230986" w:rsidRDefault="00230986" w:rsidP="00230986">
      <w:pPr>
        <w:spacing w:after="0"/>
        <w:ind w:left="1440" w:firstLine="720"/>
      </w:pPr>
      <w:r>
        <w:t>don’t mention centering – it’s a red herring</w:t>
      </w:r>
    </w:p>
    <w:p w:rsidR="00230986" w:rsidRDefault="00230986" w:rsidP="00230986">
      <w:pPr>
        <w:spacing w:after="0"/>
        <w:ind w:left="1440"/>
      </w:pPr>
      <w:r>
        <w:tab/>
        <w:t>don’t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t>check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Two-part model (Zero inflated poisson)</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Two-part model (Zero inflated poisson)</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Two-part model (Zero inflated poisson)</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Two-part model (Zero inflated poisson)</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EB3A5E" w:rsidRDefault="00EB3A5E" w:rsidP="009354CA">
      <w:pPr>
        <w:spacing w:after="0"/>
      </w:pPr>
      <w:bookmarkStart w:id="0" w:name="_GoBack"/>
      <w:bookmarkEnd w:id="0"/>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159" w:rsidRDefault="003C2159" w:rsidP="008E3F2B">
      <w:pPr>
        <w:spacing w:after="0" w:line="240" w:lineRule="auto"/>
      </w:pPr>
      <w:r>
        <w:separator/>
      </w:r>
    </w:p>
  </w:endnote>
  <w:endnote w:type="continuationSeparator" w:id="0">
    <w:p w:rsidR="003C2159" w:rsidRDefault="003C2159"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159" w:rsidRDefault="003C2159" w:rsidP="008E3F2B">
      <w:pPr>
        <w:spacing w:after="0" w:line="240" w:lineRule="auto"/>
      </w:pPr>
      <w:r>
        <w:separator/>
      </w:r>
    </w:p>
  </w:footnote>
  <w:footnote w:type="continuationSeparator" w:id="0">
    <w:p w:rsidR="003C2159" w:rsidRDefault="003C2159"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10D71"/>
    <w:rsid w:val="00036841"/>
    <w:rsid w:val="00230986"/>
    <w:rsid w:val="00260BA0"/>
    <w:rsid w:val="00346B22"/>
    <w:rsid w:val="003C2159"/>
    <w:rsid w:val="0043517D"/>
    <w:rsid w:val="00476B7B"/>
    <w:rsid w:val="004C3B5B"/>
    <w:rsid w:val="007335D7"/>
    <w:rsid w:val="0078718F"/>
    <w:rsid w:val="00790F07"/>
    <w:rsid w:val="007970A4"/>
    <w:rsid w:val="007D7B7C"/>
    <w:rsid w:val="008E3F2B"/>
    <w:rsid w:val="008F4C7F"/>
    <w:rsid w:val="009354CA"/>
    <w:rsid w:val="00986CC1"/>
    <w:rsid w:val="00AA3EA1"/>
    <w:rsid w:val="00AB5813"/>
    <w:rsid w:val="00AF47B8"/>
    <w:rsid w:val="00B60CB9"/>
    <w:rsid w:val="00BC73A0"/>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C459"/>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19</cp:revision>
  <dcterms:created xsi:type="dcterms:W3CDTF">2018-11-02T18:27:00Z</dcterms:created>
  <dcterms:modified xsi:type="dcterms:W3CDTF">2019-01-18T00:10:00Z</dcterms:modified>
</cp:coreProperties>
</file>